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360" w:lineRule="auto"/>
        <w:jc w:val="center"/>
        <w:rPr>
          <w:rFonts w:ascii="仿宋" w:hAnsi="仿宋" w:eastAsia="仿宋" w:cs="仿宋"/>
          <w:b/>
          <w:sz w:val="48"/>
          <w:szCs w:val="48"/>
        </w:rPr>
      </w:pPr>
    </w:p>
    <w:p>
      <w:pPr>
        <w:spacing w:line="720" w:lineRule="auto"/>
        <w:jc w:val="center"/>
        <w:rPr>
          <w:rFonts w:ascii="仿宋" w:hAnsi="仿宋" w:eastAsia="仿宋" w:cs="仿宋"/>
          <w:b/>
          <w:sz w:val="48"/>
          <w:szCs w:val="48"/>
        </w:rPr>
      </w:pPr>
      <w:r>
        <w:rPr>
          <w:rFonts w:hint="eastAsia" w:ascii="仿宋" w:hAnsi="仿宋" w:eastAsia="仿宋" w:cs="仿宋"/>
          <w:b/>
          <w:sz w:val="48"/>
          <w:szCs w:val="48"/>
        </w:rPr>
        <w:t>南通市市域治理现代化指挥中心</w:t>
      </w:r>
    </w:p>
    <w:p>
      <w:pPr>
        <w:spacing w:line="720" w:lineRule="auto"/>
        <w:jc w:val="center"/>
        <w:rPr>
          <w:rFonts w:ascii="仿宋" w:hAnsi="仿宋" w:eastAsia="仿宋" w:cs="仿宋"/>
          <w:b/>
          <w:sz w:val="72"/>
          <w:szCs w:val="72"/>
        </w:rPr>
      </w:pPr>
      <w:r>
        <w:rPr>
          <w:rFonts w:hint="eastAsia" w:ascii="仿宋" w:hAnsi="仿宋" w:eastAsia="仿宋" w:cs="仿宋"/>
          <w:b/>
          <w:sz w:val="48"/>
          <w:szCs w:val="48"/>
        </w:rPr>
        <w:t>12345平台软件系统网络安全等级保护测评服务项目</w:t>
      </w:r>
    </w:p>
    <w:p>
      <w:pPr>
        <w:spacing w:before="156" w:beforeLines="50" w:after="156" w:afterLines="50" w:line="360" w:lineRule="auto"/>
        <w:rPr>
          <w:rFonts w:ascii="仿宋" w:hAnsi="仿宋" w:eastAsia="仿宋" w:cs="仿宋"/>
          <w:b/>
          <w:sz w:val="72"/>
          <w:szCs w:val="72"/>
        </w:rPr>
      </w:pPr>
    </w:p>
    <w:p>
      <w:pPr>
        <w:spacing w:before="156" w:beforeLines="50" w:after="156" w:afterLines="50" w:line="360" w:lineRule="auto"/>
        <w:jc w:val="center"/>
        <w:rPr>
          <w:rFonts w:ascii="仿宋" w:hAnsi="仿宋" w:eastAsia="仿宋" w:cs="仿宋"/>
          <w:b/>
          <w:sz w:val="84"/>
          <w:szCs w:val="84"/>
        </w:rPr>
      </w:pPr>
      <w:r>
        <w:rPr>
          <w:rFonts w:hint="eastAsia" w:ascii="仿宋" w:hAnsi="仿宋" w:eastAsia="仿宋" w:cs="仿宋"/>
          <w:b/>
          <w:sz w:val="84"/>
          <w:szCs w:val="84"/>
        </w:rPr>
        <w:t>竞争性磋商文件</w:t>
      </w:r>
    </w:p>
    <w:p>
      <w:pPr>
        <w:spacing w:before="156" w:beforeLines="50" w:after="156" w:afterLines="50" w:line="360" w:lineRule="auto"/>
        <w:rPr>
          <w:rFonts w:ascii="仿宋" w:hAnsi="仿宋" w:eastAsia="仿宋" w:cs="仿宋"/>
          <w:sz w:val="28"/>
          <w:szCs w:val="28"/>
        </w:rPr>
      </w:pPr>
    </w:p>
    <w:p>
      <w:pPr>
        <w:spacing w:before="156" w:beforeLines="50" w:after="156" w:afterLines="50" w:line="360" w:lineRule="auto"/>
        <w:rPr>
          <w:rFonts w:ascii="仿宋" w:hAnsi="仿宋" w:eastAsia="仿宋" w:cs="仿宋"/>
          <w:sz w:val="28"/>
          <w:szCs w:val="28"/>
        </w:rPr>
      </w:pPr>
    </w:p>
    <w:p>
      <w:pPr>
        <w:spacing w:before="156" w:beforeLines="50" w:after="156" w:afterLines="50" w:line="360" w:lineRule="auto"/>
        <w:rPr>
          <w:rFonts w:ascii="仿宋" w:hAnsi="仿宋" w:eastAsia="仿宋" w:cs="仿宋"/>
          <w:b/>
          <w:sz w:val="32"/>
          <w:szCs w:val="32"/>
        </w:rPr>
      </w:pPr>
    </w:p>
    <w:p>
      <w:pPr>
        <w:spacing w:before="156" w:beforeLines="50" w:after="156" w:afterLines="50" w:line="360" w:lineRule="auto"/>
        <w:rPr>
          <w:rFonts w:ascii="仿宋" w:hAnsi="仿宋" w:eastAsia="仿宋" w:cs="仿宋"/>
          <w:b/>
          <w:sz w:val="32"/>
          <w:szCs w:val="32"/>
        </w:rPr>
      </w:pPr>
    </w:p>
    <w:p>
      <w:pPr>
        <w:spacing w:before="156" w:beforeLines="50" w:after="156" w:afterLines="50" w:line="360" w:lineRule="auto"/>
        <w:rPr>
          <w:rFonts w:ascii="仿宋" w:hAnsi="仿宋" w:eastAsia="仿宋" w:cs="仿宋"/>
          <w:b/>
          <w:sz w:val="32"/>
          <w:szCs w:val="32"/>
        </w:rPr>
      </w:pPr>
    </w:p>
    <w:p>
      <w:pPr>
        <w:spacing w:before="312" w:beforeLines="100" w:after="312" w:afterLines="100" w:line="360" w:lineRule="auto"/>
        <w:ind w:firstLine="723" w:firstLineChars="200"/>
        <w:rPr>
          <w:rFonts w:ascii="仿宋" w:hAnsi="仿宋" w:eastAsia="仿宋" w:cs="仿宋"/>
          <w:b/>
          <w:bCs/>
          <w:sz w:val="36"/>
          <w:szCs w:val="36"/>
        </w:rPr>
      </w:pPr>
      <w:r>
        <w:rPr>
          <w:rFonts w:hint="eastAsia" w:ascii="仿宋" w:hAnsi="仿宋" w:eastAsia="仿宋" w:cs="仿宋"/>
          <w:b/>
          <w:sz w:val="36"/>
          <w:szCs w:val="36"/>
        </w:rPr>
        <w:t>招 标 人：</w:t>
      </w:r>
      <w:r>
        <w:rPr>
          <w:rFonts w:hint="eastAsia" w:ascii="仿宋" w:hAnsi="仿宋" w:eastAsia="仿宋" w:cs="Times New Roman"/>
          <w:b/>
          <w:bCs/>
          <w:sz w:val="36"/>
          <w:szCs w:val="36"/>
          <w:u w:val="single"/>
        </w:rPr>
        <w:t>南通市市域治理现代化指挥中心</w:t>
      </w:r>
    </w:p>
    <w:p>
      <w:pPr>
        <w:spacing w:before="312" w:beforeLines="100" w:after="312" w:afterLines="100" w:line="360" w:lineRule="auto"/>
        <w:ind w:firstLine="723" w:firstLineChars="200"/>
        <w:rPr>
          <w:rFonts w:ascii="仿宋" w:hAnsi="仿宋" w:eastAsia="仿宋" w:cs="仿宋"/>
          <w:b/>
          <w:color w:val="auto"/>
          <w:sz w:val="36"/>
          <w:szCs w:val="36"/>
        </w:rPr>
      </w:pPr>
      <w:r>
        <w:rPr>
          <w:rFonts w:hint="eastAsia" w:ascii="仿宋" w:hAnsi="仿宋" w:eastAsia="仿宋" w:cs="仿宋"/>
          <w:b/>
          <w:color w:val="auto"/>
          <w:sz w:val="36"/>
          <w:szCs w:val="36"/>
        </w:rPr>
        <w:t>日    期：2021年</w:t>
      </w:r>
      <w:r>
        <w:rPr>
          <w:rFonts w:hint="eastAsia" w:ascii="仿宋" w:hAnsi="仿宋" w:eastAsia="仿宋" w:cs="仿宋"/>
          <w:b/>
          <w:color w:val="auto"/>
          <w:sz w:val="36"/>
          <w:szCs w:val="36"/>
          <w:lang w:val="en-US" w:eastAsia="zh-CN"/>
        </w:rPr>
        <w:t>5</w:t>
      </w:r>
      <w:r>
        <w:rPr>
          <w:rFonts w:hint="eastAsia" w:ascii="仿宋" w:hAnsi="仿宋" w:eastAsia="仿宋" w:cs="仿宋"/>
          <w:b/>
          <w:color w:val="auto"/>
          <w:sz w:val="36"/>
          <w:szCs w:val="36"/>
        </w:rPr>
        <w:t>月</w:t>
      </w:r>
      <w:r>
        <w:rPr>
          <w:rFonts w:hint="eastAsia" w:ascii="仿宋" w:hAnsi="仿宋" w:eastAsia="仿宋" w:cs="仿宋"/>
          <w:b/>
          <w:color w:val="auto"/>
          <w:sz w:val="36"/>
          <w:szCs w:val="36"/>
          <w:lang w:val="en-US" w:eastAsia="zh-CN"/>
        </w:rPr>
        <w:t>12</w:t>
      </w:r>
      <w:r>
        <w:rPr>
          <w:rFonts w:hint="eastAsia" w:ascii="仿宋" w:hAnsi="仿宋" w:eastAsia="仿宋" w:cs="仿宋"/>
          <w:b/>
          <w:color w:val="auto"/>
          <w:sz w:val="36"/>
          <w:szCs w:val="36"/>
        </w:rPr>
        <w:t>日</w:t>
      </w:r>
    </w:p>
    <w:p>
      <w:pPr>
        <w:widowControl/>
        <w:jc w:val="left"/>
        <w:rPr>
          <w:rFonts w:ascii="仿宋" w:hAnsi="仿宋" w:eastAsia="仿宋" w:cs="仿宋"/>
          <w:sz w:val="28"/>
          <w:szCs w:val="28"/>
        </w:rPr>
      </w:pPr>
      <w:r>
        <w:rPr>
          <w:rFonts w:hint="eastAsia" w:ascii="仿宋" w:hAnsi="仿宋" w:eastAsia="仿宋" w:cs="仿宋"/>
          <w:sz w:val="28"/>
          <w:szCs w:val="28"/>
        </w:rPr>
        <w:br w:type="page"/>
      </w:r>
    </w:p>
    <w:sdt>
      <w:sdtPr>
        <w:rPr>
          <w:rFonts w:ascii="仿宋" w:hAnsi="仿宋" w:eastAsia="仿宋" w:cstheme="minorBidi"/>
          <w:color w:val="auto"/>
          <w:kern w:val="2"/>
          <w:sz w:val="21"/>
          <w:szCs w:val="22"/>
          <w:lang w:val="zh-CN"/>
        </w:rPr>
        <w:id w:val="637083940"/>
        <w:docPartObj>
          <w:docPartGallery w:val="Table of Contents"/>
          <w:docPartUnique/>
        </w:docPartObj>
      </w:sdtPr>
      <w:sdtEndPr>
        <w:rPr>
          <w:rFonts w:ascii="仿宋" w:hAnsi="仿宋" w:eastAsia="仿宋" w:cstheme="minorBidi"/>
          <w:b/>
          <w:bCs/>
          <w:color w:val="auto"/>
          <w:kern w:val="2"/>
          <w:sz w:val="28"/>
          <w:szCs w:val="32"/>
          <w:highlight w:val="yellow"/>
          <w:lang w:val="zh-CN"/>
        </w:rPr>
      </w:sdtEndPr>
      <w:sdtContent>
        <w:p>
          <w:pPr>
            <w:pStyle w:val="17"/>
            <w:jc w:val="center"/>
            <w:rPr>
              <w:rFonts w:ascii="仿宋" w:hAnsi="仿宋" w:eastAsia="仿宋"/>
              <w:b/>
              <w:sz w:val="40"/>
              <w:lang w:val="zh-CN"/>
            </w:rPr>
          </w:pPr>
          <w:r>
            <w:rPr>
              <w:rFonts w:ascii="仿宋" w:hAnsi="仿宋" w:eastAsia="仿宋"/>
              <w:b/>
              <w:color w:val="auto"/>
              <w:sz w:val="40"/>
              <w:lang w:val="zh-CN"/>
            </w:rPr>
            <w:t>目录</w:t>
          </w:r>
        </w:p>
        <w:p>
          <w:pPr>
            <w:rPr>
              <w:rFonts w:ascii="仿宋" w:hAnsi="仿宋" w:eastAsia="仿宋"/>
              <w:lang w:val="zh-CN"/>
            </w:rPr>
          </w:pPr>
        </w:p>
        <w:p>
          <w:pPr>
            <w:pStyle w:val="6"/>
            <w:tabs>
              <w:tab w:val="right" w:leader="dot" w:pos="8296"/>
            </w:tabs>
            <w:rPr>
              <w:rFonts w:ascii="仿宋" w:hAnsi="仿宋" w:eastAsia="仿宋"/>
              <w:sz w:val="28"/>
              <w:szCs w:val="32"/>
            </w:rPr>
          </w:pPr>
          <w:r>
            <w:rPr>
              <w:rFonts w:ascii="仿宋" w:hAnsi="仿宋" w:eastAsia="仿宋"/>
              <w:b/>
              <w:sz w:val="40"/>
              <w:szCs w:val="32"/>
            </w:rPr>
            <w:fldChar w:fldCharType="begin"/>
          </w:r>
          <w:r>
            <w:rPr>
              <w:rFonts w:ascii="仿宋" w:hAnsi="仿宋" w:eastAsia="仿宋"/>
              <w:b/>
              <w:sz w:val="40"/>
              <w:szCs w:val="32"/>
            </w:rPr>
            <w:instrText xml:space="preserve"> TOC \o "1-3" \h \z \u </w:instrText>
          </w:r>
          <w:r>
            <w:rPr>
              <w:rFonts w:ascii="仿宋" w:hAnsi="仿宋" w:eastAsia="仿宋"/>
              <w:b/>
              <w:sz w:val="40"/>
              <w:szCs w:val="32"/>
            </w:rPr>
            <w:fldChar w:fldCharType="separate"/>
          </w:r>
          <w:r>
            <w:fldChar w:fldCharType="begin"/>
          </w:r>
          <w:r>
            <w:instrText xml:space="preserve"> HYPERLINK \l "_Toc71645862" </w:instrText>
          </w:r>
          <w:r>
            <w:fldChar w:fldCharType="separate"/>
          </w:r>
          <w:r>
            <w:rPr>
              <w:rStyle w:val="10"/>
              <w:rFonts w:ascii="仿宋" w:hAnsi="仿宋" w:eastAsia="仿宋" w:cs="仿宋"/>
              <w:b/>
              <w:bCs/>
              <w:kern w:val="44"/>
              <w:sz w:val="28"/>
              <w:szCs w:val="32"/>
            </w:rPr>
            <w:t>第一章招标公告</w:t>
          </w:r>
          <w:r>
            <w:rPr>
              <w:rFonts w:ascii="仿宋" w:hAnsi="仿宋" w:eastAsia="仿宋"/>
              <w:sz w:val="28"/>
              <w:szCs w:val="32"/>
            </w:rPr>
            <w:tab/>
          </w:r>
          <w:r>
            <w:rPr>
              <w:rFonts w:ascii="仿宋" w:hAnsi="仿宋" w:eastAsia="仿宋"/>
              <w:sz w:val="28"/>
              <w:szCs w:val="32"/>
            </w:rPr>
            <w:fldChar w:fldCharType="begin"/>
          </w:r>
          <w:r>
            <w:rPr>
              <w:rFonts w:ascii="仿宋" w:hAnsi="仿宋" w:eastAsia="仿宋"/>
              <w:sz w:val="28"/>
              <w:szCs w:val="32"/>
            </w:rPr>
            <w:instrText xml:space="preserve"> PAGEREF _Toc71645862 \h </w:instrText>
          </w:r>
          <w:r>
            <w:rPr>
              <w:rFonts w:ascii="仿宋" w:hAnsi="仿宋" w:eastAsia="仿宋"/>
              <w:sz w:val="28"/>
              <w:szCs w:val="32"/>
            </w:rPr>
            <w:fldChar w:fldCharType="separate"/>
          </w:r>
          <w:r>
            <w:rPr>
              <w:rFonts w:ascii="仿宋" w:hAnsi="仿宋" w:eastAsia="仿宋"/>
              <w:sz w:val="28"/>
              <w:szCs w:val="32"/>
            </w:rPr>
            <w:t>- 1 -</w:t>
          </w:r>
          <w:r>
            <w:rPr>
              <w:rFonts w:ascii="仿宋" w:hAnsi="仿宋" w:eastAsia="仿宋"/>
              <w:sz w:val="28"/>
              <w:szCs w:val="32"/>
            </w:rPr>
            <w:fldChar w:fldCharType="end"/>
          </w:r>
          <w:r>
            <w:rPr>
              <w:rFonts w:ascii="仿宋" w:hAnsi="仿宋" w:eastAsia="仿宋"/>
              <w:sz w:val="28"/>
              <w:szCs w:val="32"/>
            </w:rPr>
            <w:fldChar w:fldCharType="end"/>
          </w:r>
        </w:p>
        <w:p>
          <w:pPr>
            <w:pStyle w:val="6"/>
            <w:tabs>
              <w:tab w:val="right" w:leader="dot" w:pos="8296"/>
            </w:tabs>
            <w:rPr>
              <w:rFonts w:ascii="仿宋" w:hAnsi="仿宋" w:eastAsia="仿宋"/>
              <w:sz w:val="28"/>
              <w:szCs w:val="32"/>
            </w:rPr>
          </w:pPr>
          <w:r>
            <w:fldChar w:fldCharType="begin"/>
          </w:r>
          <w:r>
            <w:instrText xml:space="preserve"> HYPERLINK \l "_Toc71645863" </w:instrText>
          </w:r>
          <w:r>
            <w:fldChar w:fldCharType="separate"/>
          </w:r>
          <w:r>
            <w:rPr>
              <w:rStyle w:val="10"/>
              <w:rFonts w:ascii="仿宋" w:hAnsi="仿宋" w:eastAsia="仿宋" w:cs="仿宋"/>
              <w:b/>
              <w:bCs/>
              <w:kern w:val="44"/>
              <w:sz w:val="28"/>
              <w:szCs w:val="32"/>
            </w:rPr>
            <w:t>第二章投标响应供应商须知</w:t>
          </w:r>
          <w:r>
            <w:rPr>
              <w:rFonts w:ascii="仿宋" w:hAnsi="仿宋" w:eastAsia="仿宋"/>
              <w:sz w:val="28"/>
              <w:szCs w:val="32"/>
            </w:rPr>
            <w:tab/>
          </w:r>
          <w:r>
            <w:rPr>
              <w:rFonts w:ascii="仿宋" w:hAnsi="仿宋" w:eastAsia="仿宋"/>
              <w:sz w:val="28"/>
              <w:szCs w:val="32"/>
            </w:rPr>
            <w:fldChar w:fldCharType="begin"/>
          </w:r>
          <w:r>
            <w:rPr>
              <w:rFonts w:ascii="仿宋" w:hAnsi="仿宋" w:eastAsia="仿宋"/>
              <w:sz w:val="28"/>
              <w:szCs w:val="32"/>
            </w:rPr>
            <w:instrText xml:space="preserve"> PAGEREF _Toc71645863 \h </w:instrText>
          </w:r>
          <w:r>
            <w:rPr>
              <w:rFonts w:ascii="仿宋" w:hAnsi="仿宋" w:eastAsia="仿宋"/>
              <w:sz w:val="28"/>
              <w:szCs w:val="32"/>
            </w:rPr>
            <w:fldChar w:fldCharType="separate"/>
          </w:r>
          <w:r>
            <w:rPr>
              <w:rFonts w:ascii="仿宋" w:hAnsi="仿宋" w:eastAsia="仿宋"/>
              <w:sz w:val="28"/>
              <w:szCs w:val="32"/>
            </w:rPr>
            <w:t>- 3 -</w:t>
          </w:r>
          <w:r>
            <w:rPr>
              <w:rFonts w:ascii="仿宋" w:hAnsi="仿宋" w:eastAsia="仿宋"/>
              <w:sz w:val="28"/>
              <w:szCs w:val="32"/>
            </w:rPr>
            <w:fldChar w:fldCharType="end"/>
          </w:r>
          <w:r>
            <w:rPr>
              <w:rFonts w:ascii="仿宋" w:hAnsi="仿宋" w:eastAsia="仿宋"/>
              <w:sz w:val="28"/>
              <w:szCs w:val="32"/>
            </w:rPr>
            <w:fldChar w:fldCharType="end"/>
          </w:r>
        </w:p>
        <w:p>
          <w:pPr>
            <w:pStyle w:val="6"/>
            <w:tabs>
              <w:tab w:val="right" w:leader="dot" w:pos="8296"/>
            </w:tabs>
            <w:rPr>
              <w:rFonts w:ascii="仿宋" w:hAnsi="仿宋" w:eastAsia="仿宋"/>
              <w:sz w:val="28"/>
              <w:szCs w:val="32"/>
            </w:rPr>
          </w:pPr>
          <w:r>
            <w:fldChar w:fldCharType="begin"/>
          </w:r>
          <w:r>
            <w:instrText xml:space="preserve"> HYPERLINK \l "_Toc71645864" </w:instrText>
          </w:r>
          <w:r>
            <w:fldChar w:fldCharType="separate"/>
          </w:r>
          <w:r>
            <w:rPr>
              <w:rStyle w:val="10"/>
              <w:rFonts w:ascii="仿宋" w:hAnsi="仿宋" w:eastAsia="仿宋" w:cs="仿宋"/>
              <w:b/>
              <w:bCs/>
              <w:kern w:val="44"/>
              <w:sz w:val="28"/>
              <w:szCs w:val="32"/>
            </w:rPr>
            <w:t>第三章采购需求</w:t>
          </w:r>
          <w:r>
            <w:rPr>
              <w:rFonts w:ascii="仿宋" w:hAnsi="仿宋" w:eastAsia="仿宋"/>
              <w:sz w:val="28"/>
              <w:szCs w:val="32"/>
            </w:rPr>
            <w:tab/>
          </w:r>
          <w:r>
            <w:rPr>
              <w:rFonts w:ascii="仿宋" w:hAnsi="仿宋" w:eastAsia="仿宋"/>
              <w:sz w:val="28"/>
              <w:szCs w:val="32"/>
            </w:rPr>
            <w:fldChar w:fldCharType="begin"/>
          </w:r>
          <w:r>
            <w:rPr>
              <w:rFonts w:ascii="仿宋" w:hAnsi="仿宋" w:eastAsia="仿宋"/>
              <w:sz w:val="28"/>
              <w:szCs w:val="32"/>
            </w:rPr>
            <w:instrText xml:space="preserve"> PAGEREF _Toc71645864 \h </w:instrText>
          </w:r>
          <w:r>
            <w:rPr>
              <w:rFonts w:ascii="仿宋" w:hAnsi="仿宋" w:eastAsia="仿宋"/>
              <w:sz w:val="28"/>
              <w:szCs w:val="32"/>
            </w:rPr>
            <w:fldChar w:fldCharType="separate"/>
          </w:r>
          <w:r>
            <w:rPr>
              <w:rFonts w:ascii="仿宋" w:hAnsi="仿宋" w:eastAsia="仿宋"/>
              <w:sz w:val="28"/>
              <w:szCs w:val="32"/>
            </w:rPr>
            <w:t>- 6 -</w:t>
          </w:r>
          <w:r>
            <w:rPr>
              <w:rFonts w:ascii="仿宋" w:hAnsi="仿宋" w:eastAsia="仿宋"/>
              <w:sz w:val="28"/>
              <w:szCs w:val="32"/>
            </w:rPr>
            <w:fldChar w:fldCharType="end"/>
          </w:r>
          <w:r>
            <w:rPr>
              <w:rFonts w:ascii="仿宋" w:hAnsi="仿宋" w:eastAsia="仿宋"/>
              <w:sz w:val="28"/>
              <w:szCs w:val="32"/>
            </w:rPr>
            <w:fldChar w:fldCharType="end"/>
          </w:r>
        </w:p>
        <w:p>
          <w:pPr>
            <w:pStyle w:val="6"/>
            <w:tabs>
              <w:tab w:val="right" w:leader="dot" w:pos="8296"/>
            </w:tabs>
            <w:rPr>
              <w:rFonts w:ascii="仿宋" w:hAnsi="仿宋" w:eastAsia="仿宋"/>
              <w:sz w:val="28"/>
              <w:szCs w:val="32"/>
            </w:rPr>
          </w:pPr>
          <w:r>
            <w:fldChar w:fldCharType="begin"/>
          </w:r>
          <w:r>
            <w:instrText xml:space="preserve"> HYPERLINK \l "_Toc71645865" </w:instrText>
          </w:r>
          <w:r>
            <w:fldChar w:fldCharType="separate"/>
          </w:r>
          <w:r>
            <w:rPr>
              <w:rStyle w:val="10"/>
              <w:rFonts w:ascii="仿宋" w:hAnsi="仿宋" w:eastAsia="仿宋" w:cs="仿宋"/>
              <w:b/>
              <w:bCs/>
              <w:kern w:val="44"/>
              <w:sz w:val="28"/>
              <w:szCs w:val="32"/>
            </w:rPr>
            <w:t>第四章评标办法</w:t>
          </w:r>
          <w:r>
            <w:rPr>
              <w:rFonts w:ascii="仿宋" w:hAnsi="仿宋" w:eastAsia="仿宋"/>
              <w:sz w:val="28"/>
              <w:szCs w:val="32"/>
            </w:rPr>
            <w:tab/>
          </w:r>
          <w:r>
            <w:rPr>
              <w:rFonts w:ascii="仿宋" w:hAnsi="仿宋" w:eastAsia="仿宋"/>
              <w:sz w:val="28"/>
              <w:szCs w:val="32"/>
            </w:rPr>
            <w:fldChar w:fldCharType="begin"/>
          </w:r>
          <w:r>
            <w:rPr>
              <w:rFonts w:ascii="仿宋" w:hAnsi="仿宋" w:eastAsia="仿宋"/>
              <w:sz w:val="28"/>
              <w:szCs w:val="32"/>
            </w:rPr>
            <w:instrText xml:space="preserve"> PAGEREF _Toc71645865 \h </w:instrText>
          </w:r>
          <w:r>
            <w:rPr>
              <w:rFonts w:ascii="仿宋" w:hAnsi="仿宋" w:eastAsia="仿宋"/>
              <w:sz w:val="28"/>
              <w:szCs w:val="32"/>
            </w:rPr>
            <w:fldChar w:fldCharType="separate"/>
          </w:r>
          <w:r>
            <w:rPr>
              <w:rFonts w:ascii="仿宋" w:hAnsi="仿宋" w:eastAsia="仿宋"/>
              <w:sz w:val="28"/>
              <w:szCs w:val="32"/>
            </w:rPr>
            <w:t>- 9 -</w:t>
          </w:r>
          <w:r>
            <w:rPr>
              <w:rFonts w:ascii="仿宋" w:hAnsi="仿宋" w:eastAsia="仿宋"/>
              <w:sz w:val="28"/>
              <w:szCs w:val="32"/>
            </w:rPr>
            <w:fldChar w:fldCharType="end"/>
          </w:r>
          <w:r>
            <w:rPr>
              <w:rFonts w:ascii="仿宋" w:hAnsi="仿宋" w:eastAsia="仿宋"/>
              <w:sz w:val="28"/>
              <w:szCs w:val="32"/>
            </w:rPr>
            <w:fldChar w:fldCharType="end"/>
          </w:r>
        </w:p>
        <w:p>
          <w:pPr>
            <w:pStyle w:val="6"/>
            <w:tabs>
              <w:tab w:val="right" w:leader="dot" w:pos="8296"/>
            </w:tabs>
            <w:rPr>
              <w:rFonts w:ascii="仿宋" w:hAnsi="仿宋" w:eastAsia="仿宋"/>
              <w:sz w:val="28"/>
              <w:szCs w:val="32"/>
            </w:rPr>
          </w:pPr>
          <w:r>
            <w:fldChar w:fldCharType="begin"/>
          </w:r>
          <w:r>
            <w:instrText xml:space="preserve"> HYPERLINK \l "_Toc71645866" </w:instrText>
          </w:r>
          <w:r>
            <w:fldChar w:fldCharType="separate"/>
          </w:r>
          <w:r>
            <w:rPr>
              <w:rStyle w:val="10"/>
              <w:rFonts w:ascii="仿宋" w:hAnsi="仿宋" w:eastAsia="仿宋" w:cs="仿宋"/>
              <w:b/>
              <w:bCs/>
              <w:kern w:val="44"/>
              <w:sz w:val="28"/>
              <w:szCs w:val="32"/>
            </w:rPr>
            <w:t>第五章投标文件格式</w:t>
          </w:r>
          <w:r>
            <w:rPr>
              <w:rFonts w:ascii="仿宋" w:hAnsi="仿宋" w:eastAsia="仿宋"/>
              <w:sz w:val="28"/>
              <w:szCs w:val="32"/>
            </w:rPr>
            <w:tab/>
          </w:r>
          <w:r>
            <w:rPr>
              <w:rFonts w:ascii="仿宋" w:hAnsi="仿宋" w:eastAsia="仿宋"/>
              <w:sz w:val="28"/>
              <w:szCs w:val="32"/>
            </w:rPr>
            <w:fldChar w:fldCharType="begin"/>
          </w:r>
          <w:r>
            <w:rPr>
              <w:rFonts w:ascii="仿宋" w:hAnsi="仿宋" w:eastAsia="仿宋"/>
              <w:sz w:val="28"/>
              <w:szCs w:val="32"/>
            </w:rPr>
            <w:instrText xml:space="preserve"> PAGEREF _Toc71645866 \h </w:instrText>
          </w:r>
          <w:r>
            <w:rPr>
              <w:rFonts w:ascii="仿宋" w:hAnsi="仿宋" w:eastAsia="仿宋"/>
              <w:sz w:val="28"/>
              <w:szCs w:val="32"/>
            </w:rPr>
            <w:fldChar w:fldCharType="separate"/>
          </w:r>
          <w:r>
            <w:rPr>
              <w:rFonts w:ascii="仿宋" w:hAnsi="仿宋" w:eastAsia="仿宋"/>
              <w:sz w:val="28"/>
              <w:szCs w:val="32"/>
            </w:rPr>
            <w:t>- 12 -</w:t>
          </w:r>
          <w:r>
            <w:rPr>
              <w:rFonts w:ascii="仿宋" w:hAnsi="仿宋" w:eastAsia="仿宋"/>
              <w:sz w:val="28"/>
              <w:szCs w:val="32"/>
            </w:rPr>
            <w:fldChar w:fldCharType="end"/>
          </w:r>
          <w:r>
            <w:rPr>
              <w:rFonts w:ascii="仿宋" w:hAnsi="仿宋" w:eastAsia="仿宋"/>
              <w:sz w:val="28"/>
              <w:szCs w:val="32"/>
            </w:rPr>
            <w:fldChar w:fldCharType="end"/>
          </w:r>
        </w:p>
        <w:p>
          <w:pPr>
            <w:rPr>
              <w:rFonts w:ascii="仿宋" w:hAnsi="仿宋" w:eastAsia="仿宋"/>
              <w:b/>
              <w:sz w:val="28"/>
              <w:szCs w:val="32"/>
            </w:rPr>
          </w:pPr>
          <w:r>
            <w:rPr>
              <w:rFonts w:ascii="仿宋" w:hAnsi="仿宋" w:eastAsia="仿宋"/>
              <w:b/>
              <w:bCs/>
              <w:sz w:val="40"/>
              <w:szCs w:val="32"/>
              <w:lang w:val="zh-CN"/>
            </w:rPr>
            <w:fldChar w:fldCharType="end"/>
          </w:r>
        </w:p>
      </w:sdtContent>
    </w:sdt>
    <w:p>
      <w:pPr>
        <w:widowControl/>
        <w:jc w:val="left"/>
        <w:rPr>
          <w:rFonts w:ascii="仿宋" w:hAnsi="仿宋" w:eastAsia="仿宋" w:cs="仿宋"/>
          <w:sz w:val="28"/>
          <w:szCs w:val="28"/>
        </w:rPr>
        <w:sectPr>
          <w:footerReference r:id="rId3" w:type="default"/>
          <w:pgSz w:w="11906" w:h="16838"/>
          <w:pgMar w:top="1440" w:right="1800" w:bottom="1440" w:left="1800" w:header="851" w:footer="992" w:gutter="0"/>
          <w:cols w:space="425" w:num="1"/>
          <w:docGrid w:type="lines" w:linePitch="312" w:charSpace="0"/>
        </w:sectPr>
      </w:pPr>
      <w:bookmarkStart w:id="9" w:name="_GoBack"/>
      <w:bookmarkEnd w:id="9"/>
    </w:p>
    <w:p>
      <w:pPr>
        <w:keepNext/>
        <w:keepLines/>
        <w:spacing w:before="240" w:after="240" w:line="360" w:lineRule="auto"/>
        <w:jc w:val="center"/>
        <w:outlineLvl w:val="0"/>
        <w:rPr>
          <w:rFonts w:ascii="仿宋" w:hAnsi="仿宋" w:eastAsia="仿宋" w:cs="仿宋"/>
          <w:b/>
          <w:bCs/>
          <w:kern w:val="44"/>
          <w:sz w:val="44"/>
          <w:szCs w:val="44"/>
        </w:rPr>
      </w:pPr>
      <w:bookmarkStart w:id="0" w:name="_Toc71645862"/>
      <w:bookmarkStart w:id="1" w:name="_Toc21508370"/>
      <w:r>
        <w:rPr>
          <w:rFonts w:hint="eastAsia" w:ascii="仿宋" w:hAnsi="仿宋" w:eastAsia="仿宋" w:cs="仿宋"/>
          <w:b/>
          <w:bCs/>
          <w:kern w:val="44"/>
          <w:sz w:val="44"/>
          <w:szCs w:val="44"/>
        </w:rPr>
        <w:t>第一章招标公告</w:t>
      </w:r>
      <w:bookmarkEnd w:id="0"/>
    </w:p>
    <w:p>
      <w:pPr>
        <w:snapToGrid w:val="0"/>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根据《中华人民共和国政府采购法》、《中华人民共和国招标投标法》等有关法律规定，南通市市域治理现代化指挥中心就下列项目进行公开采购招标，诚邀符合要求的供应商前来报名参加。现将有关采购招标事项公告如下：</w:t>
      </w:r>
    </w:p>
    <w:p>
      <w:pPr>
        <w:snapToGrid w:val="0"/>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一、项目概况</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1．项目名称：南通市市域治理现代化指挥中心12345平台软件系统网络安全等级保护测评服务项目</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w:t>
      </w:r>
      <w:r>
        <w:rPr>
          <w:rFonts w:ascii="仿宋" w:hAnsi="仿宋" w:eastAsia="仿宋" w:cs="仿宋"/>
          <w:sz w:val="24"/>
          <w:szCs w:val="24"/>
        </w:rPr>
        <w:t xml:space="preserve"> </w:t>
      </w:r>
      <w:r>
        <w:rPr>
          <w:rFonts w:hint="eastAsia" w:ascii="仿宋" w:hAnsi="仿宋" w:eastAsia="仿宋" w:cs="仿宋"/>
          <w:sz w:val="24"/>
          <w:szCs w:val="24"/>
        </w:rPr>
        <w:t>采购方式：竞争性磋商</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3．项目预算：人民币</w:t>
      </w:r>
      <w:r>
        <w:rPr>
          <w:rFonts w:hint="eastAsia" w:ascii="仿宋" w:hAnsi="仿宋" w:eastAsia="仿宋" w:cs="仿宋"/>
          <w:sz w:val="24"/>
          <w:szCs w:val="24"/>
          <w:lang w:val="en-US" w:eastAsia="zh-CN"/>
        </w:rPr>
        <w:t>4</w:t>
      </w:r>
      <w:r>
        <w:rPr>
          <w:rFonts w:hint="eastAsia" w:ascii="仿宋" w:hAnsi="仿宋" w:eastAsia="仿宋" w:cs="仿宋"/>
          <w:sz w:val="24"/>
          <w:szCs w:val="24"/>
        </w:rPr>
        <w:t>万元</w:t>
      </w:r>
    </w:p>
    <w:p>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 采购需求：详见招标文件第三章</w:t>
      </w:r>
    </w:p>
    <w:p>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5．服务期限：合同签订后60日内完成等保测评出具加盖等级保护专用章的测评报告，并完成在南通市公安局网安支队备案。</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6. 本项目不接受联合体投标。</w:t>
      </w:r>
    </w:p>
    <w:p>
      <w:pPr>
        <w:snapToGrid w:val="0"/>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二、供应商应当具备的主要资格条件及要求</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1.满足《中华人民共和国政府采购法》第二十二条规定。</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2.落实政府采购政策需满足的资格要求：无。</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3.本项目的特定资格要求：供应商具备有效期内的《网络安全等级保护测评机构推荐证书》，提供证书复印件（加盖公章）。</w:t>
      </w:r>
    </w:p>
    <w:p>
      <w:pPr>
        <w:snapToGrid w:val="0"/>
        <w:spacing w:line="360" w:lineRule="auto"/>
        <w:ind w:firstLine="482" w:firstLineChars="200"/>
        <w:rPr>
          <w:rFonts w:ascii="仿宋" w:hAnsi="仿宋" w:eastAsia="仿宋" w:cs="仿宋"/>
          <w:b/>
          <w:bCs/>
          <w:color w:val="auto"/>
          <w:sz w:val="24"/>
          <w:szCs w:val="24"/>
        </w:rPr>
      </w:pPr>
      <w:r>
        <w:rPr>
          <w:rFonts w:hint="eastAsia" w:ascii="仿宋" w:hAnsi="仿宋" w:eastAsia="仿宋" w:cs="仿宋"/>
          <w:b/>
          <w:bCs/>
          <w:color w:val="auto"/>
          <w:sz w:val="24"/>
          <w:szCs w:val="24"/>
        </w:rPr>
        <w:t>三、获取采购文件</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w:t>
      </w:r>
      <w:r>
        <w:rPr>
          <w:rFonts w:ascii="仿宋" w:hAnsi="仿宋" w:eastAsia="仿宋" w:cs="仿宋"/>
          <w:sz w:val="24"/>
          <w:szCs w:val="24"/>
        </w:rPr>
        <w:t xml:space="preserve"> </w:t>
      </w:r>
      <w:r>
        <w:rPr>
          <w:rFonts w:hint="eastAsia" w:ascii="仿宋" w:hAnsi="仿宋" w:eastAsia="仿宋" w:cs="仿宋"/>
          <w:sz w:val="24"/>
          <w:szCs w:val="24"/>
        </w:rPr>
        <w:t>时间：2021年</w:t>
      </w:r>
      <w:r>
        <w:rPr>
          <w:rFonts w:hint="eastAsia" w:ascii="仿宋" w:hAnsi="仿宋" w:eastAsia="仿宋" w:cs="仿宋"/>
          <w:sz w:val="24"/>
          <w:szCs w:val="24"/>
          <w:lang w:val="en-US" w:eastAsia="zh-CN"/>
        </w:rPr>
        <w:t>5</w:t>
      </w:r>
      <w:r>
        <w:rPr>
          <w:rFonts w:hint="eastAsia" w:ascii="仿宋" w:hAnsi="仿宋" w:eastAsia="仿宋" w:cs="仿宋"/>
          <w:sz w:val="24"/>
          <w:szCs w:val="24"/>
        </w:rPr>
        <w:t>月</w:t>
      </w:r>
      <w:r>
        <w:rPr>
          <w:rFonts w:hint="eastAsia" w:ascii="仿宋" w:hAnsi="仿宋" w:eastAsia="仿宋" w:cs="仿宋"/>
          <w:sz w:val="24"/>
          <w:szCs w:val="24"/>
          <w:lang w:val="en-US" w:eastAsia="zh-CN"/>
        </w:rPr>
        <w:t>12</w:t>
      </w:r>
      <w:r>
        <w:rPr>
          <w:rFonts w:hint="eastAsia" w:ascii="仿宋" w:hAnsi="仿宋" w:eastAsia="仿宋" w:cs="仿宋"/>
          <w:sz w:val="24"/>
          <w:szCs w:val="24"/>
        </w:rPr>
        <w:t>日至2021年</w:t>
      </w:r>
      <w:r>
        <w:rPr>
          <w:rFonts w:hint="eastAsia" w:ascii="仿宋" w:hAnsi="仿宋" w:eastAsia="仿宋" w:cs="仿宋"/>
          <w:sz w:val="24"/>
          <w:szCs w:val="24"/>
          <w:lang w:val="en-US" w:eastAsia="zh-CN"/>
        </w:rPr>
        <w:t>5</w:t>
      </w:r>
      <w:r>
        <w:rPr>
          <w:rFonts w:hint="eastAsia" w:ascii="仿宋" w:hAnsi="仿宋" w:eastAsia="仿宋" w:cs="仿宋"/>
          <w:sz w:val="24"/>
          <w:szCs w:val="24"/>
        </w:rPr>
        <w:t>月</w:t>
      </w:r>
      <w:r>
        <w:rPr>
          <w:rFonts w:hint="eastAsia" w:ascii="仿宋" w:hAnsi="仿宋" w:eastAsia="仿宋" w:cs="仿宋"/>
          <w:sz w:val="24"/>
          <w:szCs w:val="24"/>
          <w:lang w:val="en-US" w:eastAsia="zh-CN"/>
        </w:rPr>
        <w:t>21</w:t>
      </w:r>
      <w:r>
        <w:rPr>
          <w:rFonts w:hint="eastAsia" w:ascii="仿宋" w:hAnsi="仿宋" w:eastAsia="仿宋" w:cs="仿宋"/>
          <w:sz w:val="24"/>
          <w:szCs w:val="24"/>
        </w:rPr>
        <w:t>日</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w:t>
      </w:r>
      <w:r>
        <w:rPr>
          <w:rFonts w:ascii="仿宋" w:hAnsi="仿宋" w:eastAsia="仿宋" w:cs="仿宋"/>
          <w:sz w:val="24"/>
          <w:szCs w:val="24"/>
        </w:rPr>
        <w:t xml:space="preserve"> </w:t>
      </w:r>
      <w:r>
        <w:rPr>
          <w:rFonts w:hint="eastAsia" w:ascii="仿宋" w:hAnsi="仿宋" w:eastAsia="仿宋" w:cs="仿宋"/>
          <w:sz w:val="24"/>
          <w:szCs w:val="24"/>
        </w:rPr>
        <w:t>方式：自行下载</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w:t>
      </w:r>
      <w:r>
        <w:rPr>
          <w:rFonts w:ascii="仿宋" w:hAnsi="仿宋" w:eastAsia="仿宋" w:cs="仿宋"/>
          <w:sz w:val="24"/>
          <w:szCs w:val="24"/>
        </w:rPr>
        <w:t xml:space="preserve"> </w:t>
      </w:r>
      <w:r>
        <w:rPr>
          <w:rFonts w:hint="eastAsia" w:ascii="仿宋" w:hAnsi="仿宋" w:eastAsia="仿宋" w:cs="仿宋"/>
          <w:sz w:val="24"/>
          <w:szCs w:val="24"/>
        </w:rPr>
        <w:t>售价：免费</w:t>
      </w:r>
    </w:p>
    <w:p>
      <w:pPr>
        <w:snapToGrid w:val="0"/>
        <w:spacing w:line="360" w:lineRule="auto"/>
        <w:ind w:firstLine="482" w:firstLineChars="200"/>
        <w:rPr>
          <w:rFonts w:ascii="仿宋" w:hAnsi="仿宋" w:eastAsia="仿宋" w:cs="仿宋"/>
          <w:b/>
          <w:bCs/>
          <w:color w:val="auto"/>
          <w:sz w:val="24"/>
          <w:szCs w:val="24"/>
        </w:rPr>
      </w:pPr>
      <w:r>
        <w:rPr>
          <w:rFonts w:hint="eastAsia" w:ascii="仿宋" w:hAnsi="仿宋" w:eastAsia="仿宋" w:cs="仿宋"/>
          <w:b/>
          <w:bCs/>
          <w:color w:val="auto"/>
          <w:sz w:val="24"/>
          <w:szCs w:val="24"/>
        </w:rPr>
        <w:t>四、投标及开标时间</w:t>
      </w:r>
    </w:p>
    <w:p>
      <w:pPr>
        <w:snapToGrid w:val="0"/>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响应文件开启时间：2021年</w:t>
      </w:r>
      <w:r>
        <w:rPr>
          <w:rFonts w:hint="eastAsia" w:ascii="仿宋" w:hAnsi="仿宋" w:eastAsia="仿宋" w:cs="仿宋"/>
          <w:bCs/>
          <w:sz w:val="24"/>
          <w:szCs w:val="24"/>
          <w:lang w:val="en-US" w:eastAsia="zh-CN"/>
        </w:rPr>
        <w:t>5</w:t>
      </w:r>
      <w:r>
        <w:rPr>
          <w:rFonts w:hint="eastAsia" w:ascii="仿宋" w:hAnsi="仿宋" w:eastAsia="仿宋" w:cs="仿宋"/>
          <w:bCs/>
          <w:sz w:val="24"/>
          <w:szCs w:val="24"/>
        </w:rPr>
        <w:t>月</w:t>
      </w:r>
      <w:r>
        <w:rPr>
          <w:rFonts w:hint="eastAsia" w:ascii="仿宋" w:hAnsi="仿宋" w:eastAsia="仿宋" w:cs="仿宋"/>
          <w:bCs/>
          <w:sz w:val="24"/>
          <w:szCs w:val="24"/>
          <w:lang w:val="en-US" w:eastAsia="zh-CN"/>
        </w:rPr>
        <w:t>21</w:t>
      </w:r>
      <w:r>
        <w:rPr>
          <w:rFonts w:hint="eastAsia" w:ascii="仿宋" w:hAnsi="仿宋" w:eastAsia="仿宋" w:cs="仿宋"/>
          <w:bCs/>
          <w:sz w:val="24"/>
          <w:szCs w:val="24"/>
        </w:rPr>
        <w:t>日</w:t>
      </w:r>
      <w:r>
        <w:rPr>
          <w:rFonts w:hint="eastAsia" w:ascii="仿宋" w:hAnsi="仿宋" w:eastAsia="仿宋" w:cs="仿宋"/>
          <w:bCs/>
          <w:sz w:val="24"/>
          <w:szCs w:val="24"/>
          <w:lang w:val="en-US" w:eastAsia="zh-CN"/>
        </w:rPr>
        <w:t>14</w:t>
      </w:r>
      <w:r>
        <w:rPr>
          <w:rFonts w:hint="eastAsia" w:ascii="仿宋" w:hAnsi="仿宋" w:eastAsia="仿宋" w:cs="仿宋"/>
          <w:bCs/>
          <w:sz w:val="24"/>
          <w:szCs w:val="24"/>
        </w:rPr>
        <w:t>时</w:t>
      </w:r>
      <w:r>
        <w:rPr>
          <w:rFonts w:hint="eastAsia" w:ascii="仿宋" w:hAnsi="仿宋" w:eastAsia="仿宋" w:cs="仿宋"/>
          <w:bCs/>
          <w:sz w:val="24"/>
          <w:szCs w:val="24"/>
          <w:lang w:val="en-US" w:eastAsia="zh-CN"/>
        </w:rPr>
        <w:t>30</w:t>
      </w:r>
      <w:r>
        <w:rPr>
          <w:rFonts w:hint="eastAsia" w:ascii="仿宋" w:hAnsi="仿宋" w:eastAsia="仿宋" w:cs="仿宋"/>
          <w:bCs/>
          <w:sz w:val="24"/>
          <w:szCs w:val="24"/>
        </w:rPr>
        <w:t>分（北京时间）</w:t>
      </w:r>
    </w:p>
    <w:p>
      <w:pPr>
        <w:snapToGrid w:val="0"/>
        <w:spacing w:line="360" w:lineRule="auto"/>
        <w:ind w:firstLine="480" w:firstLineChars="200"/>
        <w:rPr>
          <w:rFonts w:hint="default" w:ascii="仿宋" w:hAnsi="仿宋" w:eastAsia="仿宋" w:cs="仿宋"/>
          <w:bCs/>
          <w:sz w:val="24"/>
          <w:szCs w:val="24"/>
          <w:lang w:val="en-US" w:eastAsia="zh-CN"/>
        </w:rPr>
      </w:pPr>
      <w:r>
        <w:rPr>
          <w:rFonts w:hint="eastAsia" w:ascii="仿宋" w:hAnsi="仿宋" w:eastAsia="仿宋" w:cs="仿宋"/>
          <w:bCs/>
          <w:sz w:val="24"/>
          <w:szCs w:val="24"/>
        </w:rPr>
        <w:t>地点：</w:t>
      </w:r>
      <w:r>
        <w:rPr>
          <w:rFonts w:hint="eastAsia" w:ascii="仿宋" w:hAnsi="仿宋" w:eastAsia="仿宋" w:cs="仿宋"/>
          <w:bCs/>
          <w:sz w:val="24"/>
          <w:szCs w:val="24"/>
          <w:lang w:val="en-US" w:eastAsia="zh-CN"/>
        </w:rPr>
        <w:t>南通市市域治理现代化指挥中心4F会议室</w:t>
      </w:r>
    </w:p>
    <w:p>
      <w:pPr>
        <w:snapToGrid w:val="0"/>
        <w:spacing w:line="360" w:lineRule="auto"/>
        <w:ind w:firstLine="482" w:firstLineChars="200"/>
        <w:rPr>
          <w:rFonts w:ascii="仿宋" w:hAnsi="仿宋" w:eastAsia="仿宋" w:cs="仿宋"/>
          <w:sz w:val="24"/>
          <w:szCs w:val="24"/>
        </w:rPr>
      </w:pPr>
      <w:r>
        <w:rPr>
          <w:rFonts w:hint="eastAsia" w:ascii="仿宋" w:hAnsi="仿宋" w:eastAsia="仿宋" w:cs="仿宋"/>
          <w:b/>
          <w:bCs/>
          <w:sz w:val="24"/>
          <w:szCs w:val="24"/>
        </w:rPr>
        <w:t>五、公告期限：</w:t>
      </w:r>
      <w:r>
        <w:rPr>
          <w:rFonts w:hint="eastAsia" w:ascii="仿宋" w:hAnsi="仿宋" w:eastAsia="仿宋" w:cs="仿宋"/>
          <w:sz w:val="24"/>
          <w:szCs w:val="24"/>
        </w:rPr>
        <w:t>自本公告发布之日起3个工作日。</w:t>
      </w:r>
    </w:p>
    <w:p>
      <w:pPr>
        <w:snapToGrid w:val="0"/>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六、磋商保证金</w:t>
      </w:r>
    </w:p>
    <w:p>
      <w:pPr>
        <w:snapToGrid w:val="0"/>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本项目不收投标保证金，采购文件中涉及投标保证金的事项，均按免收投标保证金执行。</w:t>
      </w:r>
    </w:p>
    <w:p>
      <w:pPr>
        <w:snapToGrid w:val="0"/>
        <w:spacing w:line="360" w:lineRule="auto"/>
        <w:ind w:firstLine="482" w:firstLineChars="200"/>
        <w:rPr>
          <w:rFonts w:ascii="仿宋" w:hAnsi="仿宋" w:eastAsia="仿宋" w:cs="仿宋"/>
          <w:b/>
          <w:bCs/>
          <w:color w:val="FF0000"/>
          <w:sz w:val="24"/>
          <w:szCs w:val="24"/>
        </w:rPr>
      </w:pPr>
      <w:r>
        <w:rPr>
          <w:rFonts w:hint="eastAsia" w:ascii="仿宋" w:hAnsi="仿宋" w:eastAsia="仿宋" w:cs="仿宋"/>
          <w:b/>
          <w:bCs/>
          <w:color w:val="auto"/>
          <w:sz w:val="24"/>
          <w:szCs w:val="24"/>
        </w:rPr>
        <w:t>七、凡对本次采购提出询问，请按以下方式联系</w:t>
      </w:r>
    </w:p>
    <w:p>
      <w:pPr>
        <w:snapToGrid w:val="0"/>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采购人信息</w:t>
      </w:r>
    </w:p>
    <w:p>
      <w:pPr>
        <w:pStyle w:val="13"/>
        <w:numPr>
          <w:ilvl w:val="0"/>
          <w:numId w:val="1"/>
        </w:numPr>
        <w:snapToGrid w:val="0"/>
        <w:spacing w:line="360" w:lineRule="auto"/>
        <w:ind w:firstLineChars="0"/>
        <w:rPr>
          <w:rFonts w:ascii="仿宋" w:hAnsi="仿宋" w:eastAsia="仿宋" w:cs="仿宋"/>
          <w:bCs/>
          <w:sz w:val="24"/>
          <w:szCs w:val="24"/>
        </w:rPr>
      </w:pPr>
      <w:r>
        <w:rPr>
          <w:rFonts w:hint="eastAsia" w:ascii="仿宋" w:hAnsi="仿宋" w:eastAsia="仿宋" w:cs="仿宋"/>
          <w:bCs/>
          <w:sz w:val="24"/>
          <w:szCs w:val="24"/>
        </w:rPr>
        <w:t>名称：</w:t>
      </w:r>
      <w:r>
        <w:rPr>
          <w:rFonts w:ascii="仿宋" w:hAnsi="仿宋" w:eastAsia="仿宋" w:cs="仿宋"/>
          <w:bCs/>
          <w:sz w:val="24"/>
          <w:szCs w:val="24"/>
        </w:rPr>
        <w:t xml:space="preserve"> </w:t>
      </w:r>
      <w:r>
        <w:rPr>
          <w:rFonts w:hint="eastAsia" w:ascii="仿宋" w:hAnsi="仿宋" w:eastAsia="仿宋" w:cs="仿宋"/>
          <w:bCs/>
          <w:sz w:val="24"/>
          <w:szCs w:val="24"/>
          <w:lang w:val="en-US" w:eastAsia="zh-CN"/>
        </w:rPr>
        <w:t>南通市市域治理现代化指挥中心</w:t>
      </w:r>
    </w:p>
    <w:p>
      <w:pPr>
        <w:pStyle w:val="13"/>
        <w:numPr>
          <w:ilvl w:val="0"/>
          <w:numId w:val="1"/>
        </w:numPr>
        <w:snapToGrid w:val="0"/>
        <w:spacing w:line="360" w:lineRule="auto"/>
        <w:ind w:firstLineChars="0"/>
        <w:rPr>
          <w:rFonts w:ascii="仿宋" w:hAnsi="仿宋" w:eastAsia="仿宋" w:cs="仿宋"/>
          <w:bCs/>
          <w:sz w:val="24"/>
          <w:szCs w:val="24"/>
        </w:rPr>
      </w:pPr>
      <w:r>
        <w:rPr>
          <w:rFonts w:hint="eastAsia" w:ascii="仿宋" w:hAnsi="仿宋" w:eastAsia="仿宋" w:cs="仿宋"/>
          <w:bCs/>
          <w:sz w:val="24"/>
          <w:szCs w:val="24"/>
        </w:rPr>
        <w:t>地址：</w:t>
      </w:r>
      <w:r>
        <w:rPr>
          <w:rFonts w:ascii="仿宋" w:hAnsi="仿宋" w:eastAsia="仿宋" w:cs="仿宋"/>
          <w:bCs/>
          <w:sz w:val="24"/>
          <w:szCs w:val="24"/>
        </w:rPr>
        <w:t xml:space="preserve"> </w:t>
      </w:r>
      <w:r>
        <w:rPr>
          <w:rFonts w:hint="eastAsia" w:ascii="仿宋" w:hAnsi="仿宋" w:eastAsia="仿宋" w:cs="仿宋"/>
          <w:bCs/>
          <w:sz w:val="24"/>
          <w:szCs w:val="24"/>
          <w:lang w:val="en-US" w:eastAsia="zh-CN"/>
        </w:rPr>
        <w:t>南通市崇川路58号</w:t>
      </w:r>
    </w:p>
    <w:p>
      <w:pPr>
        <w:pStyle w:val="13"/>
        <w:numPr>
          <w:ilvl w:val="0"/>
          <w:numId w:val="1"/>
        </w:numPr>
        <w:snapToGrid w:val="0"/>
        <w:spacing w:line="360" w:lineRule="auto"/>
        <w:ind w:firstLineChars="0"/>
        <w:rPr>
          <w:rFonts w:ascii="仿宋" w:hAnsi="仿宋" w:eastAsia="仿宋" w:cs="仿宋"/>
          <w:bCs/>
          <w:sz w:val="24"/>
          <w:szCs w:val="24"/>
        </w:rPr>
      </w:pPr>
      <w:r>
        <w:rPr>
          <w:rFonts w:hint="eastAsia" w:ascii="仿宋" w:hAnsi="仿宋" w:eastAsia="仿宋" w:cs="仿宋"/>
          <w:bCs/>
          <w:sz w:val="24"/>
          <w:szCs w:val="24"/>
        </w:rPr>
        <w:t>联系人：</w:t>
      </w:r>
      <w:r>
        <w:rPr>
          <w:rFonts w:ascii="仿宋" w:hAnsi="仿宋" w:eastAsia="仿宋" w:cs="仿宋"/>
          <w:bCs/>
          <w:sz w:val="24"/>
          <w:szCs w:val="24"/>
        </w:rPr>
        <w:t xml:space="preserve"> </w:t>
      </w:r>
      <w:r>
        <w:rPr>
          <w:rFonts w:hint="eastAsia" w:ascii="仿宋" w:hAnsi="仿宋" w:eastAsia="仿宋" w:cs="仿宋"/>
          <w:bCs/>
          <w:sz w:val="24"/>
          <w:szCs w:val="24"/>
          <w:lang w:val="en-US" w:eastAsia="zh-CN"/>
        </w:rPr>
        <w:t>刘玺</w:t>
      </w:r>
    </w:p>
    <w:p>
      <w:pPr>
        <w:pStyle w:val="13"/>
        <w:numPr>
          <w:ilvl w:val="0"/>
          <w:numId w:val="1"/>
        </w:numPr>
        <w:snapToGrid w:val="0"/>
        <w:spacing w:line="360" w:lineRule="auto"/>
        <w:ind w:firstLineChars="0"/>
        <w:rPr>
          <w:rFonts w:ascii="仿宋" w:hAnsi="仿宋" w:eastAsia="仿宋" w:cs="仿宋"/>
          <w:bCs/>
          <w:sz w:val="24"/>
          <w:szCs w:val="24"/>
        </w:rPr>
      </w:pPr>
      <w:r>
        <w:rPr>
          <w:rFonts w:hint="eastAsia" w:ascii="仿宋" w:hAnsi="仿宋" w:eastAsia="仿宋" w:cs="仿宋"/>
          <w:bCs/>
          <w:sz w:val="24"/>
          <w:szCs w:val="24"/>
        </w:rPr>
        <w:t>联系电话：</w:t>
      </w:r>
      <w:r>
        <w:rPr>
          <w:rFonts w:hint="eastAsia" w:ascii="仿宋" w:hAnsi="仿宋" w:eastAsia="仿宋" w:cs="仿宋"/>
          <w:bCs/>
          <w:sz w:val="24"/>
          <w:szCs w:val="24"/>
          <w:lang w:val="en-US" w:eastAsia="zh-CN"/>
        </w:rPr>
        <w:t>85218085</w:t>
      </w:r>
    </w:p>
    <w:p>
      <w:pPr>
        <w:snapToGrid w:val="0"/>
        <w:spacing w:line="360" w:lineRule="auto"/>
        <w:ind w:firstLine="480" w:firstLineChars="200"/>
        <w:rPr>
          <w:rFonts w:ascii="仿宋" w:hAnsi="仿宋" w:eastAsia="仿宋" w:cs="仿宋"/>
          <w:sz w:val="24"/>
          <w:szCs w:val="24"/>
        </w:rPr>
      </w:pPr>
    </w:p>
    <w:p>
      <w:pPr>
        <w:snapToGrid w:val="0"/>
        <w:spacing w:line="360" w:lineRule="auto"/>
        <w:ind w:firstLine="420" w:firstLineChars="200"/>
        <w:rPr>
          <w:rFonts w:ascii="仿宋" w:hAnsi="仿宋" w:eastAsia="仿宋" w:cs="仿宋"/>
        </w:rPr>
      </w:pPr>
      <w:r>
        <w:rPr>
          <w:rFonts w:ascii="仿宋" w:hAnsi="仿宋" w:eastAsia="仿宋" w:cs="仿宋"/>
        </w:rPr>
        <w:br w:type="page"/>
      </w:r>
    </w:p>
    <w:p>
      <w:pPr>
        <w:keepNext/>
        <w:keepLines/>
        <w:spacing w:before="240" w:after="240" w:line="360" w:lineRule="auto"/>
        <w:jc w:val="center"/>
        <w:outlineLvl w:val="0"/>
        <w:rPr>
          <w:rFonts w:ascii="仿宋" w:hAnsi="仿宋" w:eastAsia="仿宋" w:cs="仿宋"/>
          <w:b/>
          <w:bCs/>
          <w:kern w:val="44"/>
          <w:sz w:val="44"/>
          <w:szCs w:val="44"/>
        </w:rPr>
      </w:pPr>
      <w:bookmarkStart w:id="2" w:name="_Toc71645863"/>
      <w:r>
        <w:rPr>
          <w:rFonts w:hint="eastAsia" w:ascii="仿宋" w:hAnsi="仿宋" w:eastAsia="仿宋" w:cs="仿宋"/>
          <w:b/>
          <w:bCs/>
          <w:kern w:val="44"/>
          <w:sz w:val="44"/>
          <w:szCs w:val="44"/>
        </w:rPr>
        <w:t>第二章</w:t>
      </w:r>
      <w:bookmarkEnd w:id="1"/>
      <w:r>
        <w:rPr>
          <w:rFonts w:hint="eastAsia" w:ascii="仿宋" w:hAnsi="仿宋" w:eastAsia="仿宋" w:cs="仿宋"/>
          <w:b/>
          <w:bCs/>
          <w:kern w:val="44"/>
          <w:sz w:val="44"/>
          <w:szCs w:val="44"/>
        </w:rPr>
        <w:t>投标响应供应商须知</w:t>
      </w:r>
      <w:bookmarkEnd w:id="2"/>
    </w:p>
    <w:p>
      <w:pPr>
        <w:snapToGrid w:val="0"/>
        <w:spacing w:before="156" w:beforeLines="50" w:after="156" w:afterLines="50" w:line="360" w:lineRule="auto"/>
        <w:ind w:firstLine="472" w:firstLineChars="196"/>
        <w:rPr>
          <w:rFonts w:ascii="仿宋" w:hAnsi="仿宋" w:eastAsia="仿宋" w:cs="仿宋"/>
          <w:b/>
          <w:sz w:val="24"/>
          <w:szCs w:val="24"/>
        </w:rPr>
      </w:pPr>
      <w:r>
        <w:rPr>
          <w:rFonts w:hint="eastAsia" w:ascii="仿宋" w:hAnsi="仿宋" w:eastAsia="仿宋" w:cs="仿宋"/>
          <w:b/>
          <w:sz w:val="24"/>
          <w:szCs w:val="24"/>
        </w:rPr>
        <w:t>一、招标文件由招标人解释</w:t>
      </w:r>
    </w:p>
    <w:p>
      <w:pPr>
        <w:snapToGrid w:val="0"/>
        <w:spacing w:line="360" w:lineRule="auto"/>
        <w:ind w:firstLine="480" w:firstLineChars="200"/>
        <w:rPr>
          <w:rFonts w:ascii="仿宋" w:hAnsi="仿宋" w:eastAsia="仿宋" w:cs="仿宋"/>
          <w:b/>
          <w:sz w:val="24"/>
          <w:szCs w:val="24"/>
        </w:rPr>
      </w:pPr>
      <w:r>
        <w:rPr>
          <w:rFonts w:hint="eastAsia" w:ascii="仿宋" w:hAnsi="仿宋" w:eastAsia="仿宋" w:cs="仿宋"/>
          <w:sz w:val="24"/>
          <w:szCs w:val="24"/>
        </w:rPr>
        <w:t>1、投标人应仔细检查招标文件的所有内容，如有资格要求和技术参数含有倾向性或排他性等表述的，应在发布招标公告和招标文件后3日内以书面形式提出询问或疑问，未在规定的3日内提出询问或疑问的，视同投标人理解并接受本招标文件所有内容，并由此引起的投标损失自负。投标人不得在招标结束后针对招标文件所有内容提出质疑事项。</w:t>
      </w:r>
      <w:r>
        <w:rPr>
          <w:rFonts w:hint="eastAsia" w:ascii="仿宋" w:hAnsi="仿宋" w:eastAsia="仿宋" w:cs="仿宋"/>
          <w:b/>
          <w:sz w:val="24"/>
          <w:szCs w:val="24"/>
        </w:rPr>
        <w:t>非书面形式的不作为日后质疑提出的依据。</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投标人应认真审阅招标文件中所有的事项、格式、条款和规范要求等，如果投标人没有按照招标文件要求提交投标文件，或者投标文件没有对招标文件做出实质性响应，其投标将被拒绝，投标人自行承担责任。</w:t>
      </w:r>
    </w:p>
    <w:p>
      <w:pPr>
        <w:snapToGrid w:val="0"/>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3、若符合资格要求的投标人不足三家，招标人有权自动转入竞争性谈判或单一来源谈判。为体现合作诚意，本次中标商可以设为次年中标优先考察方。</w:t>
      </w:r>
    </w:p>
    <w:p>
      <w:pPr>
        <w:snapToGrid w:val="0"/>
        <w:spacing w:before="156" w:beforeLines="50" w:after="156" w:afterLines="50" w:line="360" w:lineRule="auto"/>
        <w:ind w:firstLine="472" w:firstLineChars="196"/>
        <w:rPr>
          <w:rFonts w:ascii="仿宋" w:hAnsi="仿宋" w:eastAsia="仿宋" w:cs="仿宋"/>
          <w:b/>
          <w:sz w:val="24"/>
          <w:szCs w:val="24"/>
        </w:rPr>
      </w:pPr>
      <w:r>
        <w:rPr>
          <w:rFonts w:hint="eastAsia" w:ascii="仿宋" w:hAnsi="仿宋" w:eastAsia="仿宋" w:cs="仿宋"/>
          <w:b/>
          <w:sz w:val="24"/>
          <w:szCs w:val="24"/>
        </w:rPr>
        <w:t>二、招标文件的澄清、修改、答疑</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1、招标人有权对发出的招标文件进行必要的澄清或修改。</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2、招标人可视情取消、延长相关时间，不负责解释。</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3、招标人对招标文件的澄清、修改将构成招标文件的一部分，对投标人具有约束力。</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4、投标人由于对招标文件的任何推论和误解以及招标人对有关问题的口头解释所造成的后果，均由投标人自负。</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5、招标人或采购单位视情组织答疑会。</w:t>
      </w:r>
    </w:p>
    <w:p>
      <w:pPr>
        <w:snapToGrid w:val="0"/>
        <w:spacing w:before="156" w:beforeLines="50" w:after="156" w:afterLines="50" w:line="360" w:lineRule="auto"/>
        <w:ind w:firstLine="472" w:firstLineChars="196"/>
        <w:rPr>
          <w:rFonts w:ascii="仿宋" w:hAnsi="仿宋" w:eastAsia="仿宋" w:cs="仿宋"/>
          <w:b/>
          <w:sz w:val="24"/>
          <w:szCs w:val="24"/>
        </w:rPr>
      </w:pPr>
      <w:r>
        <w:rPr>
          <w:rFonts w:hint="eastAsia" w:ascii="仿宋" w:hAnsi="仿宋" w:eastAsia="仿宋" w:cs="仿宋"/>
          <w:b/>
          <w:sz w:val="24"/>
          <w:szCs w:val="24"/>
        </w:rPr>
        <w:t>三、投标报价</w:t>
      </w:r>
    </w:p>
    <w:p>
      <w:pPr>
        <w:snapToGrid w:val="0"/>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供应商的报价不得超过项目预算，否则作为无效标处理。</w:t>
      </w:r>
    </w:p>
    <w:p>
      <w:pPr>
        <w:snapToGrid w:val="0"/>
        <w:spacing w:before="156" w:beforeLines="50" w:after="156" w:afterLines="50" w:line="360" w:lineRule="auto"/>
        <w:ind w:firstLine="472" w:firstLineChars="196"/>
        <w:rPr>
          <w:rFonts w:ascii="仿宋" w:hAnsi="仿宋" w:eastAsia="仿宋" w:cs="仿宋"/>
          <w:b/>
          <w:sz w:val="24"/>
          <w:szCs w:val="24"/>
        </w:rPr>
      </w:pPr>
      <w:r>
        <w:rPr>
          <w:rFonts w:hint="eastAsia" w:ascii="仿宋" w:hAnsi="仿宋" w:eastAsia="仿宋" w:cs="仿宋"/>
          <w:b/>
          <w:sz w:val="24"/>
          <w:szCs w:val="24"/>
        </w:rPr>
        <w:t>四、投标文件的组成</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投标文件由</w:t>
      </w:r>
      <w:r>
        <w:rPr>
          <w:rFonts w:hint="eastAsia" w:ascii="仿宋" w:hAnsi="仿宋" w:eastAsia="仿宋" w:cs="仿宋"/>
          <w:b/>
          <w:sz w:val="24"/>
          <w:szCs w:val="24"/>
        </w:rPr>
        <w:t>价格标和商务技术标</w:t>
      </w:r>
      <w:r>
        <w:rPr>
          <w:rFonts w:hint="eastAsia" w:ascii="仿宋" w:hAnsi="仿宋" w:eastAsia="仿宋" w:cs="仿宋"/>
          <w:sz w:val="24"/>
          <w:szCs w:val="24"/>
        </w:rPr>
        <w:t>两部分组成。</w:t>
      </w:r>
    </w:p>
    <w:p>
      <w:pPr>
        <w:snapToGrid w:val="0"/>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（一）</w:t>
      </w:r>
      <w:r>
        <w:rPr>
          <w:rFonts w:hint="eastAsia" w:ascii="仿宋" w:hAnsi="仿宋" w:eastAsia="仿宋" w:cs="仿宋"/>
          <w:b/>
          <w:sz w:val="24"/>
          <w:szCs w:val="24"/>
        </w:rPr>
        <w:t>价格标，单独密封，</w:t>
      </w:r>
      <w:r>
        <w:rPr>
          <w:rFonts w:hint="eastAsia" w:ascii="仿宋" w:hAnsi="仿宋" w:eastAsia="仿宋" w:cs="仿宋"/>
          <w:b/>
          <w:bCs/>
          <w:sz w:val="24"/>
          <w:szCs w:val="24"/>
        </w:rPr>
        <w:t>不得出现在技术标文件中</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1、投标报价总表（格式见附件）；</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2、投标报价明细表。</w:t>
      </w:r>
    </w:p>
    <w:p>
      <w:pPr>
        <w:snapToGrid w:val="0"/>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（二）商务技术标提交的材料（不得出现报价）</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1、投标承诺书（格式见附件）；</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2、法定代表人授权委托书及本人身份证复印件（格式见附件）；</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3、营业执照复印件；</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4、符合资格条件的资格证书复印件；</w:t>
      </w:r>
    </w:p>
    <w:p>
      <w:pPr>
        <w:snapToGrid w:val="0"/>
        <w:spacing w:line="360" w:lineRule="auto"/>
        <w:ind w:firstLine="480" w:firstLineChars="200"/>
        <w:rPr>
          <w:rFonts w:ascii="仿宋" w:hAnsi="仿宋" w:eastAsia="仿宋" w:cs="仿宋"/>
          <w:sz w:val="24"/>
          <w:szCs w:val="24"/>
        </w:rPr>
      </w:pPr>
      <w:r>
        <w:rPr>
          <w:rFonts w:ascii="仿宋" w:hAnsi="仿宋" w:eastAsia="仿宋" w:cs="仿宋"/>
          <w:sz w:val="24"/>
          <w:szCs w:val="24"/>
        </w:rPr>
        <w:t>5</w:t>
      </w:r>
      <w:r>
        <w:rPr>
          <w:rFonts w:hint="eastAsia" w:ascii="仿宋" w:hAnsi="仿宋" w:eastAsia="仿宋" w:cs="仿宋"/>
          <w:sz w:val="24"/>
          <w:szCs w:val="24"/>
        </w:rPr>
        <w:t>、为方便评委评审，请投标人按评标办法中所涉及的事项顺序进行编制，可以补充相关材料；</w:t>
      </w:r>
    </w:p>
    <w:p>
      <w:pPr>
        <w:snapToGrid w:val="0"/>
        <w:spacing w:line="360" w:lineRule="auto"/>
        <w:ind w:firstLine="480" w:firstLineChars="200"/>
        <w:rPr>
          <w:rFonts w:ascii="仿宋" w:hAnsi="仿宋" w:eastAsia="仿宋" w:cs="仿宋"/>
          <w:sz w:val="24"/>
          <w:szCs w:val="24"/>
        </w:rPr>
      </w:pPr>
      <w:r>
        <w:rPr>
          <w:rFonts w:ascii="仿宋" w:hAnsi="仿宋" w:eastAsia="仿宋" w:cs="仿宋"/>
          <w:sz w:val="24"/>
          <w:szCs w:val="24"/>
        </w:rPr>
        <w:t>6</w:t>
      </w:r>
      <w:r>
        <w:rPr>
          <w:rFonts w:hint="eastAsia" w:ascii="仿宋" w:hAnsi="仿宋" w:eastAsia="仿宋" w:cs="仿宋"/>
          <w:sz w:val="24"/>
          <w:szCs w:val="24"/>
        </w:rPr>
        <w:t>、评标办法中未涉及的事项，投标人认为需要提交的其他资料。</w:t>
      </w:r>
    </w:p>
    <w:p>
      <w:pPr>
        <w:snapToGrid w:val="0"/>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注意事项：</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价格标文件，商务技术文件请单独密封，商务技术标部分不得出现价格，不按照投标报价总表（格式见附件）格式报价的直接判断无效标书。</w:t>
      </w:r>
    </w:p>
    <w:p>
      <w:pPr>
        <w:snapToGrid w:val="0"/>
        <w:spacing w:before="156" w:beforeLines="50" w:after="156" w:afterLines="50" w:line="360" w:lineRule="auto"/>
        <w:ind w:firstLine="472" w:firstLineChars="196"/>
        <w:rPr>
          <w:rFonts w:ascii="仿宋" w:hAnsi="仿宋" w:eastAsia="仿宋" w:cs="仿宋"/>
          <w:b/>
          <w:sz w:val="24"/>
          <w:szCs w:val="24"/>
        </w:rPr>
      </w:pPr>
      <w:r>
        <w:rPr>
          <w:rFonts w:hint="eastAsia" w:ascii="仿宋" w:hAnsi="仿宋" w:eastAsia="仿宋" w:cs="仿宋"/>
          <w:b/>
          <w:sz w:val="24"/>
          <w:szCs w:val="24"/>
        </w:rPr>
        <w:t>五、投标文件的编写、份数和签署</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1、请将下列材料按顺序装订成册</w:t>
      </w:r>
    </w:p>
    <w:p>
      <w:pPr>
        <w:autoSpaceDE w:val="0"/>
        <w:autoSpaceDN w:val="0"/>
        <w:adjustRightIn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1）投标承诺书；</w:t>
      </w:r>
    </w:p>
    <w:p>
      <w:pPr>
        <w:autoSpaceDE w:val="0"/>
        <w:autoSpaceDN w:val="0"/>
        <w:adjustRightIn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2）法定代表人授权委托书及本人身份证复印件；</w:t>
      </w:r>
    </w:p>
    <w:p>
      <w:pPr>
        <w:autoSpaceDE w:val="0"/>
        <w:autoSpaceDN w:val="0"/>
        <w:adjustRightIn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3）营业执照复印件；</w:t>
      </w:r>
    </w:p>
    <w:p>
      <w:pPr>
        <w:autoSpaceDE w:val="0"/>
        <w:autoSpaceDN w:val="0"/>
        <w:adjustRightInd w:val="0"/>
        <w:spacing w:line="360" w:lineRule="auto"/>
        <w:ind w:firstLine="480" w:firstLineChars="200"/>
        <w:rPr>
          <w:rFonts w:ascii="仿宋" w:hAnsi="仿宋" w:eastAsia="仿宋" w:cs="仿宋"/>
          <w:sz w:val="24"/>
          <w:szCs w:val="24"/>
        </w:rPr>
      </w:pPr>
      <w:r>
        <w:rPr>
          <w:rFonts w:ascii="仿宋" w:hAnsi="仿宋" w:eastAsia="仿宋" w:cs="仿宋"/>
          <w:sz w:val="24"/>
          <w:szCs w:val="24"/>
        </w:rPr>
        <w:t>4</w:t>
      </w:r>
      <w:r>
        <w:rPr>
          <w:rFonts w:hint="eastAsia" w:ascii="仿宋" w:hAnsi="仿宋" w:eastAsia="仿宋" w:cs="仿宋"/>
          <w:sz w:val="24"/>
          <w:szCs w:val="24"/>
        </w:rPr>
        <w:t>）符合资格条件的资格证书复印件；</w:t>
      </w:r>
    </w:p>
    <w:p>
      <w:pPr>
        <w:autoSpaceDE w:val="0"/>
        <w:autoSpaceDN w:val="0"/>
        <w:adjustRightInd w:val="0"/>
        <w:spacing w:line="360" w:lineRule="auto"/>
        <w:ind w:firstLine="480" w:firstLineChars="200"/>
        <w:rPr>
          <w:rFonts w:ascii="仿宋" w:hAnsi="仿宋" w:eastAsia="仿宋" w:cs="仿宋"/>
          <w:sz w:val="24"/>
          <w:szCs w:val="24"/>
        </w:rPr>
      </w:pPr>
      <w:r>
        <w:rPr>
          <w:rFonts w:ascii="仿宋" w:hAnsi="仿宋" w:eastAsia="仿宋" w:cs="仿宋"/>
          <w:sz w:val="24"/>
          <w:szCs w:val="24"/>
        </w:rPr>
        <w:t>5</w:t>
      </w:r>
      <w:r>
        <w:rPr>
          <w:rFonts w:hint="eastAsia" w:ascii="仿宋" w:hAnsi="仿宋" w:eastAsia="仿宋" w:cs="仿宋"/>
          <w:sz w:val="24"/>
          <w:szCs w:val="24"/>
        </w:rPr>
        <w:t>）为方便评委评审，请投标人按评标办法中所涉及的事项顺序进行编制，可以补充相关材料；</w:t>
      </w:r>
    </w:p>
    <w:p>
      <w:pPr>
        <w:autoSpaceDE w:val="0"/>
        <w:autoSpaceDN w:val="0"/>
        <w:adjustRightIn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6）评标办法中未涉及的事项，投标人认为需要提交的其他资料；</w:t>
      </w:r>
    </w:p>
    <w:p>
      <w:pPr>
        <w:autoSpaceDE w:val="0"/>
        <w:autoSpaceDN w:val="0"/>
        <w:adjustRightIn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7）投标报价总表、投标报价明细表（需单独密封）。</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投标文件规格幅面A4纸（图纸等除外），按照招标文件所规定的内容顺序，统一编目、编页码装订（投标文件中复印件及彩色宣传资料等均须与投标文件正文一起逐页编排页码）。由于编排混乱导致投标文件被误读或查找不到，其责任应当由投标人承担。不得将内容拆开投标，并牢固装订成册。不允许使用活页夹、拉杆夹、文件夹、塑料方便式书脊（插入式或穿孔式）装订。投标文件不得行间插字、涂改、增删，如修补错漏处，须经投标文件签署人签字并加盖公章。</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3、投标文件可设置一份正本，也可一份正本和二份副本，并明确标注投标人全称、“正本”、“副本”字样。</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4、投标文件正本须打印并由投标人法定代表人或授权人签字并加盖单位印章。</w:t>
      </w:r>
    </w:p>
    <w:p>
      <w:pPr>
        <w:snapToGrid w:val="0"/>
        <w:spacing w:before="156" w:beforeLines="50" w:after="156" w:afterLines="50" w:line="360" w:lineRule="auto"/>
        <w:ind w:firstLine="472" w:firstLineChars="196"/>
        <w:rPr>
          <w:rFonts w:ascii="仿宋" w:hAnsi="仿宋" w:eastAsia="仿宋" w:cs="仿宋"/>
          <w:b/>
          <w:sz w:val="24"/>
          <w:szCs w:val="24"/>
        </w:rPr>
      </w:pPr>
      <w:r>
        <w:rPr>
          <w:rFonts w:hint="eastAsia" w:ascii="仿宋" w:hAnsi="仿宋" w:eastAsia="仿宋" w:cs="仿宋"/>
          <w:b/>
          <w:sz w:val="24"/>
          <w:szCs w:val="24"/>
        </w:rPr>
        <w:t>六、投标文件的密封及标记</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1、投标人应将正本和副本密封。</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2、密封后投标文件和报价表封面标明招标文件项目名称、边缝处加盖单位骑缝章或骑缝签字，</w:t>
      </w:r>
      <w:r>
        <w:rPr>
          <w:rFonts w:hint="eastAsia" w:ascii="仿宋" w:hAnsi="仿宋" w:eastAsia="仿宋" w:cs="仿宋"/>
          <w:b/>
          <w:bCs/>
          <w:sz w:val="24"/>
          <w:szCs w:val="24"/>
        </w:rPr>
        <w:t>并注明于开标前不得启封。</w:t>
      </w:r>
    </w:p>
    <w:p>
      <w:pPr>
        <w:snapToGrid w:val="0"/>
        <w:spacing w:before="156" w:beforeLines="50" w:after="156" w:afterLines="50" w:line="360" w:lineRule="auto"/>
        <w:ind w:firstLine="472" w:firstLineChars="196"/>
        <w:rPr>
          <w:rFonts w:ascii="仿宋" w:hAnsi="仿宋" w:eastAsia="仿宋" w:cs="仿宋"/>
          <w:b/>
          <w:sz w:val="24"/>
          <w:szCs w:val="24"/>
        </w:rPr>
      </w:pPr>
      <w:r>
        <w:rPr>
          <w:rFonts w:hint="eastAsia" w:ascii="仿宋" w:hAnsi="仿宋" w:eastAsia="仿宋" w:cs="仿宋"/>
          <w:b/>
          <w:sz w:val="24"/>
          <w:szCs w:val="24"/>
        </w:rPr>
        <w:t>七、投标文件的递交时间</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投标人必须在规定的投标文件接收截止时间前送达招标人。招标人将拒绝接收在投标截止时间后递交的投标文件。</w:t>
      </w:r>
    </w:p>
    <w:p>
      <w:pPr>
        <w:snapToGrid w:val="0"/>
        <w:spacing w:before="156" w:beforeLines="50" w:after="156" w:afterLines="50" w:line="360" w:lineRule="auto"/>
        <w:ind w:firstLine="472" w:firstLineChars="196"/>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八、投标保证金（本项目</w:t>
      </w:r>
      <w:r>
        <w:rPr>
          <w:rFonts w:ascii="仿宋" w:hAnsi="仿宋" w:eastAsia="仿宋" w:cs="仿宋"/>
          <w:b/>
          <w:color w:val="000000" w:themeColor="text1"/>
          <w:sz w:val="24"/>
          <w:szCs w:val="24"/>
          <w14:textFill>
            <w14:solidFill>
              <w14:schemeClr w14:val="tx1"/>
            </w14:solidFill>
          </w14:textFill>
        </w:rPr>
        <w:t>不涉及</w:t>
      </w:r>
      <w:r>
        <w:rPr>
          <w:rFonts w:hint="eastAsia" w:ascii="仿宋" w:hAnsi="仿宋" w:eastAsia="仿宋" w:cs="仿宋"/>
          <w:b/>
          <w:color w:val="000000" w:themeColor="text1"/>
          <w:sz w:val="24"/>
          <w:szCs w:val="24"/>
          <w14:textFill>
            <w14:solidFill>
              <w14:schemeClr w14:val="tx1"/>
            </w14:solidFill>
          </w14:textFill>
        </w:rPr>
        <w:t>）</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1、投标人在开标规定时间无故迟到的，招标人有权收取其保证金的10%作为违约金。</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2、投标人在开标后要求撤销投标的，招标人有权收取其全额保证金作为违约金。</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3、未中标的投标人保证金开标结束后以原额退还；中标人保证金在采购合同签订后5个工作日内原额退还（或转为履约保证金）。</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4、中标人无正当理由拒绝签订合同的，招标人有权取消其中标资格，并有权收取其全额保证金作为违约金。</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5、中标人提供虚假材料谋取中标的，招标人有权取消其中标资格，并有权收取其全额保证金作为违约金。</w:t>
      </w:r>
    </w:p>
    <w:p>
      <w:pPr>
        <w:snapToGrid w:val="0"/>
        <w:spacing w:before="156" w:beforeLines="50" w:after="156" w:afterLines="50" w:line="360" w:lineRule="auto"/>
        <w:ind w:firstLine="472" w:firstLineChars="196"/>
        <w:rPr>
          <w:rFonts w:ascii="仿宋" w:hAnsi="仿宋" w:eastAsia="仿宋" w:cs="仿宋"/>
          <w:b/>
          <w:sz w:val="24"/>
          <w:szCs w:val="24"/>
        </w:rPr>
      </w:pPr>
      <w:r>
        <w:rPr>
          <w:rFonts w:hint="eastAsia" w:ascii="仿宋" w:hAnsi="仿宋" w:eastAsia="仿宋" w:cs="仿宋"/>
          <w:b/>
          <w:sz w:val="24"/>
          <w:szCs w:val="24"/>
        </w:rPr>
        <w:t>九、投标费用</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投标人承担参与投标可能发生的全部费用，招标人在任何情况下均无义务和责任承担这些费用。</w:t>
      </w:r>
    </w:p>
    <w:p>
      <w:pPr>
        <w:widowControl/>
        <w:jc w:val="left"/>
        <w:rPr>
          <w:rFonts w:ascii="仿宋" w:hAnsi="仿宋" w:eastAsia="仿宋" w:cs="仿宋"/>
        </w:rPr>
      </w:pPr>
      <w:r>
        <w:rPr>
          <w:rFonts w:hint="eastAsia" w:ascii="仿宋" w:hAnsi="仿宋" w:eastAsia="仿宋" w:cs="仿宋"/>
        </w:rPr>
        <w:br w:type="page"/>
      </w:r>
    </w:p>
    <w:p>
      <w:pPr>
        <w:keepNext/>
        <w:keepLines/>
        <w:spacing w:before="240" w:after="240" w:line="360" w:lineRule="auto"/>
        <w:jc w:val="center"/>
        <w:outlineLvl w:val="0"/>
        <w:rPr>
          <w:rFonts w:ascii="仿宋" w:hAnsi="仿宋" w:eastAsia="仿宋" w:cs="仿宋"/>
          <w:b/>
          <w:bCs/>
          <w:kern w:val="44"/>
          <w:sz w:val="44"/>
          <w:szCs w:val="44"/>
        </w:rPr>
      </w:pPr>
      <w:bookmarkStart w:id="3" w:name="_Toc71645864"/>
      <w:bookmarkStart w:id="4" w:name="_Toc21508371"/>
      <w:r>
        <w:rPr>
          <w:rFonts w:hint="eastAsia" w:ascii="仿宋" w:hAnsi="仿宋" w:eastAsia="仿宋" w:cs="仿宋"/>
          <w:b/>
          <w:bCs/>
          <w:kern w:val="44"/>
          <w:sz w:val="44"/>
          <w:szCs w:val="44"/>
        </w:rPr>
        <w:t>第三章采购需求</w:t>
      </w:r>
      <w:bookmarkEnd w:id="3"/>
      <w:bookmarkEnd w:id="4"/>
    </w:p>
    <w:p>
      <w:pPr>
        <w:spacing w:line="360" w:lineRule="auto"/>
        <w:ind w:firstLine="640"/>
        <w:rPr>
          <w:rFonts w:ascii="仿宋" w:hAnsi="仿宋" w:eastAsia="仿宋"/>
          <w:b/>
          <w:bCs/>
          <w:sz w:val="28"/>
          <w:szCs w:val="28"/>
        </w:rPr>
      </w:pPr>
      <w:r>
        <w:rPr>
          <w:rFonts w:hint="eastAsia" w:ascii="仿宋" w:hAnsi="仿宋" w:eastAsia="仿宋"/>
          <w:b/>
          <w:bCs/>
          <w:sz w:val="28"/>
          <w:szCs w:val="28"/>
        </w:rPr>
        <w:t>一、背景概述、实现功能要求</w:t>
      </w:r>
    </w:p>
    <w:p>
      <w:pPr>
        <w:spacing w:line="360" w:lineRule="auto"/>
        <w:ind w:firstLine="640"/>
        <w:rPr>
          <w:rFonts w:ascii="仿宋" w:hAnsi="仿宋" w:eastAsia="仿宋"/>
          <w:sz w:val="24"/>
          <w:szCs w:val="24"/>
        </w:rPr>
      </w:pPr>
      <w:r>
        <w:rPr>
          <w:rFonts w:hint="eastAsia" w:ascii="仿宋" w:hAnsi="仿宋" w:eastAsia="仿宋"/>
          <w:sz w:val="24"/>
          <w:szCs w:val="24"/>
        </w:rPr>
        <w:t>为确保南通市市域治理现代化指挥中心12345平台软件系统安全、高效、稳定运行，根据《中华人民共和国网络安全法》第二十一条规定：国家实行网络安全等级保护制度，拟对12345政府公共服务平台业务系统进行等级测评，对系统存在安全隐患进行整改，降低系统被各种攻击的风险，从而全面提升实际系统的网络安全防护水平。</w:t>
      </w:r>
    </w:p>
    <w:p>
      <w:pPr>
        <w:spacing w:line="360" w:lineRule="auto"/>
        <w:ind w:firstLine="640"/>
        <w:rPr>
          <w:rFonts w:ascii="仿宋" w:hAnsi="仿宋" w:eastAsia="仿宋"/>
          <w:b/>
          <w:bCs/>
          <w:sz w:val="28"/>
          <w:szCs w:val="28"/>
        </w:rPr>
      </w:pPr>
      <w:r>
        <w:rPr>
          <w:rFonts w:ascii="仿宋" w:hAnsi="仿宋" w:eastAsia="仿宋"/>
          <w:b/>
          <w:bCs/>
          <w:sz w:val="28"/>
          <w:szCs w:val="28"/>
        </w:rPr>
        <w:t>二、</w:t>
      </w:r>
      <w:r>
        <w:rPr>
          <w:rFonts w:hint="eastAsia" w:ascii="仿宋" w:hAnsi="仿宋" w:eastAsia="仿宋"/>
          <w:b/>
          <w:bCs/>
          <w:sz w:val="28"/>
          <w:szCs w:val="28"/>
        </w:rPr>
        <w:t>测评</w:t>
      </w:r>
      <w:r>
        <w:rPr>
          <w:rFonts w:ascii="仿宋" w:hAnsi="仿宋" w:eastAsia="仿宋"/>
          <w:b/>
          <w:bCs/>
          <w:sz w:val="28"/>
          <w:szCs w:val="28"/>
        </w:rPr>
        <w:t>主要内容</w:t>
      </w:r>
    </w:p>
    <w:p>
      <w:pPr>
        <w:adjustRightInd w:val="0"/>
        <w:snapToGrid w:val="0"/>
        <w:spacing w:before="156" w:beforeLines="50" w:line="360" w:lineRule="auto"/>
        <w:ind w:firstLine="480" w:firstLineChars="200"/>
        <w:rPr>
          <w:rFonts w:ascii="仿宋" w:hAnsi="仿宋" w:eastAsia="仿宋"/>
          <w:sz w:val="24"/>
          <w:szCs w:val="24"/>
        </w:rPr>
      </w:pPr>
      <w:r>
        <w:rPr>
          <w:rFonts w:hint="eastAsia" w:ascii="仿宋" w:hAnsi="仿宋" w:eastAsia="仿宋"/>
          <w:sz w:val="24"/>
          <w:szCs w:val="24"/>
        </w:rPr>
        <w:t>本项目</w:t>
      </w:r>
      <w:r>
        <w:rPr>
          <w:rFonts w:ascii="仿宋" w:hAnsi="仿宋" w:eastAsia="仿宋"/>
          <w:sz w:val="24"/>
          <w:szCs w:val="24"/>
        </w:rPr>
        <w:t>涉及的信息系统如下：</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7"/>
        <w:gridCol w:w="5062"/>
        <w:gridCol w:w="937"/>
        <w:gridCol w:w="15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0" w:type="pct"/>
            <w:shd w:val="clear" w:color="auto" w:fill="auto"/>
            <w:vAlign w:val="center"/>
          </w:tcPr>
          <w:p>
            <w:pPr>
              <w:adjustRightInd w:val="0"/>
              <w:snapToGrid w:val="0"/>
              <w:spacing w:line="360" w:lineRule="auto"/>
              <w:jc w:val="center"/>
              <w:rPr>
                <w:rFonts w:ascii="仿宋" w:hAnsi="仿宋" w:eastAsia="仿宋"/>
                <w:sz w:val="24"/>
                <w:szCs w:val="24"/>
              </w:rPr>
            </w:pPr>
            <w:r>
              <w:rPr>
                <w:rFonts w:hint="eastAsia" w:ascii="仿宋" w:hAnsi="仿宋" w:eastAsia="仿宋"/>
                <w:sz w:val="24"/>
                <w:szCs w:val="24"/>
              </w:rPr>
              <w:t>序号</w:t>
            </w:r>
          </w:p>
        </w:tc>
        <w:tc>
          <w:tcPr>
            <w:tcW w:w="2970" w:type="pct"/>
            <w:shd w:val="clear" w:color="auto" w:fill="auto"/>
            <w:vAlign w:val="center"/>
          </w:tcPr>
          <w:p>
            <w:pPr>
              <w:adjustRightInd w:val="0"/>
              <w:snapToGrid w:val="0"/>
              <w:spacing w:line="360" w:lineRule="auto"/>
              <w:jc w:val="center"/>
              <w:rPr>
                <w:rFonts w:ascii="仿宋" w:hAnsi="仿宋" w:eastAsia="仿宋"/>
                <w:sz w:val="24"/>
                <w:szCs w:val="24"/>
              </w:rPr>
            </w:pPr>
            <w:r>
              <w:rPr>
                <w:rFonts w:hint="eastAsia" w:ascii="仿宋" w:hAnsi="仿宋" w:eastAsia="仿宋"/>
                <w:sz w:val="24"/>
                <w:szCs w:val="24"/>
              </w:rPr>
              <w:t>系统名称</w:t>
            </w:r>
          </w:p>
        </w:tc>
        <w:tc>
          <w:tcPr>
            <w:tcW w:w="550" w:type="pct"/>
            <w:shd w:val="clear" w:color="auto" w:fill="auto"/>
            <w:vAlign w:val="center"/>
          </w:tcPr>
          <w:p>
            <w:pPr>
              <w:adjustRightInd w:val="0"/>
              <w:snapToGrid w:val="0"/>
              <w:spacing w:line="360" w:lineRule="auto"/>
              <w:jc w:val="center"/>
              <w:rPr>
                <w:rFonts w:ascii="仿宋" w:hAnsi="仿宋" w:eastAsia="仿宋"/>
                <w:sz w:val="24"/>
                <w:szCs w:val="24"/>
              </w:rPr>
            </w:pPr>
            <w:r>
              <w:rPr>
                <w:rFonts w:hint="eastAsia" w:ascii="仿宋" w:hAnsi="仿宋" w:eastAsia="仿宋"/>
                <w:sz w:val="24"/>
                <w:szCs w:val="24"/>
              </w:rPr>
              <w:t>数量</w:t>
            </w:r>
          </w:p>
        </w:tc>
        <w:tc>
          <w:tcPr>
            <w:tcW w:w="930" w:type="pct"/>
            <w:shd w:val="clear" w:color="auto" w:fill="auto"/>
            <w:vAlign w:val="center"/>
          </w:tcPr>
          <w:p>
            <w:pPr>
              <w:adjustRightInd w:val="0"/>
              <w:snapToGrid w:val="0"/>
              <w:spacing w:line="360" w:lineRule="auto"/>
              <w:jc w:val="center"/>
              <w:rPr>
                <w:rFonts w:ascii="仿宋" w:hAnsi="仿宋" w:eastAsia="仿宋"/>
                <w:sz w:val="24"/>
                <w:szCs w:val="24"/>
              </w:rPr>
            </w:pPr>
            <w:r>
              <w:rPr>
                <w:rFonts w:hint="eastAsia" w:ascii="仿宋" w:hAnsi="仿宋" w:eastAsia="仿宋"/>
                <w:sz w:val="24"/>
                <w:szCs w:val="24"/>
              </w:rPr>
              <w:t>备案</w:t>
            </w:r>
            <w:r>
              <w:rPr>
                <w:rFonts w:ascii="仿宋" w:hAnsi="仿宋" w:eastAsia="仿宋"/>
                <w:sz w:val="24"/>
                <w:szCs w:val="24"/>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0" w:type="pct"/>
            <w:shd w:val="clear" w:color="auto" w:fill="auto"/>
            <w:vAlign w:val="center"/>
          </w:tcPr>
          <w:p>
            <w:pPr>
              <w:adjustRightInd w:val="0"/>
              <w:snapToGrid w:val="0"/>
              <w:spacing w:line="360" w:lineRule="auto"/>
              <w:jc w:val="center"/>
              <w:rPr>
                <w:rFonts w:ascii="仿宋" w:hAnsi="仿宋" w:eastAsia="仿宋"/>
                <w:sz w:val="24"/>
                <w:szCs w:val="24"/>
              </w:rPr>
            </w:pPr>
            <w:r>
              <w:rPr>
                <w:rFonts w:hint="eastAsia" w:ascii="仿宋" w:hAnsi="仿宋" w:eastAsia="仿宋"/>
                <w:sz w:val="24"/>
                <w:szCs w:val="24"/>
              </w:rPr>
              <w:t>1</w:t>
            </w:r>
          </w:p>
        </w:tc>
        <w:tc>
          <w:tcPr>
            <w:tcW w:w="2970" w:type="pct"/>
            <w:shd w:val="clear" w:color="auto" w:fill="auto"/>
            <w:vAlign w:val="center"/>
          </w:tcPr>
          <w:p>
            <w:pPr>
              <w:adjustRightInd w:val="0"/>
              <w:snapToGrid w:val="0"/>
              <w:spacing w:line="360" w:lineRule="auto"/>
              <w:jc w:val="center"/>
              <w:rPr>
                <w:rFonts w:ascii="仿宋" w:hAnsi="仿宋" w:eastAsia="仿宋"/>
                <w:sz w:val="24"/>
                <w:szCs w:val="24"/>
              </w:rPr>
            </w:pPr>
            <w:r>
              <w:rPr>
                <w:rFonts w:hint="eastAsia" w:ascii="仿宋" w:hAnsi="仿宋" w:eastAsia="仿宋"/>
                <w:sz w:val="24"/>
                <w:szCs w:val="24"/>
              </w:rPr>
              <w:t>12345政府公共服务平台业务系统</w:t>
            </w:r>
          </w:p>
        </w:tc>
        <w:tc>
          <w:tcPr>
            <w:tcW w:w="550" w:type="pct"/>
            <w:shd w:val="clear" w:color="auto" w:fill="auto"/>
            <w:vAlign w:val="center"/>
          </w:tcPr>
          <w:p>
            <w:pPr>
              <w:adjustRightInd w:val="0"/>
              <w:snapToGrid w:val="0"/>
              <w:spacing w:line="360" w:lineRule="auto"/>
              <w:jc w:val="center"/>
              <w:rPr>
                <w:rFonts w:ascii="仿宋" w:hAnsi="仿宋" w:eastAsia="仿宋"/>
                <w:sz w:val="24"/>
                <w:szCs w:val="24"/>
              </w:rPr>
            </w:pPr>
            <w:r>
              <w:rPr>
                <w:rFonts w:hint="eastAsia" w:ascii="仿宋" w:hAnsi="仿宋" w:eastAsia="仿宋"/>
                <w:sz w:val="24"/>
                <w:szCs w:val="24"/>
              </w:rPr>
              <w:t>1</w:t>
            </w:r>
          </w:p>
        </w:tc>
        <w:tc>
          <w:tcPr>
            <w:tcW w:w="930" w:type="pct"/>
            <w:shd w:val="clear" w:color="auto" w:fill="auto"/>
            <w:vAlign w:val="center"/>
          </w:tcPr>
          <w:p>
            <w:pPr>
              <w:adjustRightInd w:val="0"/>
              <w:snapToGrid w:val="0"/>
              <w:spacing w:line="360" w:lineRule="auto"/>
              <w:jc w:val="center"/>
              <w:rPr>
                <w:rFonts w:ascii="仿宋" w:hAnsi="仿宋" w:eastAsia="仿宋"/>
                <w:color w:val="FF0000"/>
                <w:sz w:val="24"/>
                <w:szCs w:val="24"/>
              </w:rPr>
            </w:pPr>
            <w:r>
              <w:rPr>
                <w:rFonts w:hint="eastAsia" w:ascii="仿宋" w:hAnsi="仿宋" w:eastAsia="仿宋"/>
                <w:sz w:val="24"/>
                <w:szCs w:val="24"/>
              </w:rPr>
              <w:t>二级</w:t>
            </w:r>
          </w:p>
        </w:tc>
      </w:tr>
    </w:tbl>
    <w:p>
      <w:pPr>
        <w:adjustRightInd w:val="0"/>
        <w:snapToGrid w:val="0"/>
        <w:spacing w:before="156" w:beforeLines="50" w:line="360" w:lineRule="auto"/>
        <w:ind w:firstLine="482" w:firstLineChars="200"/>
        <w:rPr>
          <w:rFonts w:ascii="仿宋" w:hAnsi="仿宋" w:eastAsia="仿宋"/>
          <w:b/>
          <w:sz w:val="24"/>
          <w:szCs w:val="24"/>
        </w:rPr>
      </w:pPr>
      <w:r>
        <w:rPr>
          <w:rFonts w:hint="eastAsia" w:ascii="仿宋" w:hAnsi="仿宋" w:eastAsia="仿宋"/>
          <w:b/>
          <w:sz w:val="24"/>
          <w:szCs w:val="24"/>
        </w:rPr>
        <w:t>（一）测评内容</w:t>
      </w:r>
    </w:p>
    <w:p>
      <w:pPr>
        <w:adjustRightInd w:val="0"/>
        <w:snapToGrid w:val="0"/>
        <w:spacing w:line="360" w:lineRule="auto"/>
        <w:ind w:firstLine="480" w:firstLineChars="200"/>
        <w:rPr>
          <w:rFonts w:ascii="仿宋" w:hAnsi="仿宋" w:eastAsia="仿宋"/>
          <w:b/>
          <w:sz w:val="24"/>
          <w:szCs w:val="24"/>
        </w:rPr>
      </w:pPr>
      <w:r>
        <w:rPr>
          <w:rFonts w:hint="eastAsia" w:ascii="仿宋" w:hAnsi="仿宋" w:eastAsia="仿宋"/>
          <w:sz w:val="24"/>
          <w:szCs w:val="24"/>
        </w:rPr>
        <w:t>1、总体要求：</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A．完成上述信息系统安全等级测评工作，测评后经用户方确认，出具符合公安部要求的测评报告；</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B．对上述信息系统不符合信息安全等级保护有关管理规范和技术标准的，提出可行性整改方案，提供相应的安全整改建议书。</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C. 整个测评工作，不得影响招标方的正常工作流程及秩序。</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2、质量要求：</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A．等级测评及服务原则：符合性原则、标准性原则、规范性原则、可控性原则、整体性原则。</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B．信息系统安全等级保护定级及测评服务依据：</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GB/T 22239-2019：《信息安全技术 网络安全等级保护基本要求》</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GB/T 28448-2019：《信息安全技术 网络安全等级保护测评要求》</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GB/T</w:t>
      </w:r>
      <w:r>
        <w:rPr>
          <w:rFonts w:ascii="仿宋" w:hAnsi="仿宋" w:eastAsia="仿宋"/>
          <w:sz w:val="24"/>
          <w:szCs w:val="24"/>
        </w:rPr>
        <w:t xml:space="preserve"> </w:t>
      </w:r>
      <w:r>
        <w:rPr>
          <w:rFonts w:hint="eastAsia" w:ascii="仿宋" w:hAnsi="仿宋" w:eastAsia="仿宋"/>
          <w:sz w:val="24"/>
          <w:szCs w:val="24"/>
        </w:rPr>
        <w:t>28449-2018：《信息安全技术 网络安全等级保护测评过程指南》</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3、信息安全等级测评内容：</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A．安全技术测评：包括物理安全、网络安全、主机系统安全、应用安全和数据安全等五个方面的安全测评；</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B．安全管理测评：安全管理机构、安全管理制度、人员安全管理、系统建设管理和系统运维管理等五个方面的安全测评；</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C.综合测评：安全控制间安全测评、层面间安全测评、区域间安全测评、系统结构安全测评等四个方面的综合测评。</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4、提供整改咨询服务，根据所测系统的最终测评报告，对系统现状提出安全整改建议并协助整改工作，以期达到整改目的。</w:t>
      </w:r>
    </w:p>
    <w:p>
      <w:pPr>
        <w:adjustRightInd w:val="0"/>
        <w:snapToGrid w:val="0"/>
        <w:spacing w:line="360" w:lineRule="auto"/>
        <w:ind w:firstLine="482" w:firstLineChars="200"/>
        <w:rPr>
          <w:rFonts w:ascii="仿宋" w:hAnsi="仿宋" w:eastAsia="仿宋"/>
          <w:b/>
          <w:sz w:val="24"/>
          <w:szCs w:val="24"/>
        </w:rPr>
      </w:pPr>
      <w:r>
        <w:rPr>
          <w:rFonts w:hint="eastAsia" w:ascii="仿宋" w:hAnsi="仿宋" w:eastAsia="仿宋"/>
          <w:b/>
          <w:sz w:val="24"/>
          <w:szCs w:val="24"/>
        </w:rPr>
        <w:t>（二）测评原则：</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1、客观性和公正性原则：</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测评人员应当没有偏见，在最小主观判断情形下，按照评估双方相互认可的评估方案，基于明确定义的测评方式和解释，实施评估活动。</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2、可重复性和可再现性原则：</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依照同样的要求，使用同样的评估方式，对每个评估实施过程的重复执行应该得到同样的结果。可再现性和可重复性的区别在于，前者与不同评估者评估结果的一致性有关，后者与同一评估者评估结果的一致性有关。</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3、连续性原则：</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确保在高速变化的信息安全环境中，在有效的服务期间内，保证采购方风险评估结论的准确性和及时性，对于采购方单位新增设的信息资产和服务，或新建立的信息化项目，进行局部系统的重新评估。从经济上，降低了采购方单位的成本，从信息安全性上，保证信息安全测评的动态稳定性。</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4、扩展性原则：</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在评估过程结束后，信息安全测评过程要保持扩展性，从扩展的属性上进一步加强测评结束后采购方的安全管理有效性和可用性。</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5、保密原则：</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在测评过程中，需严格遵循保密原则，双方签订保密协议，对服务过程中涉及到的任何用户信息未经允许不向其他任何第三方泄漏，以及不得利用这些信息损害采购方利益。</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6、互动原则：</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在整个测评过程中，强调采购方的互动参与，每个阶段都能够及时根据采购方的要求和实际情况对测评的内容、方式做出相关调整，进而更好的进行风险评估工作。</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7、最小影响原则：</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测评工作应该尽可能小地影响系统和网络的正常运行，不能对业务的正常运行产生明显的影响（包括系统性能明显下降、网络阻塞、服务中断等），如无法避免，则应做出说明。</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8、规范性原则：</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信息安全等级保护测评服务的实施必须由专业的测评服务人员依照规范的操作流程进行，对操作过程和结果要有相应的记录，并提供完整的服务报告。</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9、质量保障原则：</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在整个测评过程中，须特别重视项目质量管理。项目的实施将严格按照项目实施方案和流程进行，并由项目协调小组从中监督，控制项目的进度和质量。</w:t>
      </w:r>
    </w:p>
    <w:p>
      <w:pPr>
        <w:adjustRightInd w:val="0"/>
        <w:snapToGrid w:val="0"/>
        <w:spacing w:line="360" w:lineRule="auto"/>
        <w:ind w:firstLine="482" w:firstLineChars="200"/>
        <w:rPr>
          <w:rFonts w:ascii="仿宋" w:hAnsi="仿宋" w:eastAsia="仿宋"/>
          <w:b/>
          <w:sz w:val="24"/>
          <w:szCs w:val="24"/>
        </w:rPr>
      </w:pPr>
      <w:r>
        <w:rPr>
          <w:rFonts w:hint="eastAsia" w:ascii="仿宋" w:hAnsi="仿宋" w:eastAsia="仿宋"/>
          <w:b/>
          <w:bCs/>
          <w:sz w:val="24"/>
          <w:szCs w:val="24"/>
          <w:lang w:val="zh-CN"/>
        </w:rPr>
        <w:t>（三）</w:t>
      </w:r>
      <w:r>
        <w:rPr>
          <w:rFonts w:hint="eastAsia" w:ascii="仿宋" w:hAnsi="仿宋" w:eastAsia="仿宋"/>
          <w:b/>
          <w:sz w:val="24"/>
          <w:szCs w:val="24"/>
        </w:rPr>
        <w:t>测评人员和时限要求：</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1、测评驻场人员要求：</w:t>
      </w:r>
      <w:r>
        <w:rPr>
          <w:rFonts w:hint="eastAsia" w:ascii="仿宋" w:hAnsi="仿宋" w:eastAsia="仿宋"/>
          <w:bCs/>
          <w:sz w:val="24"/>
          <w:szCs w:val="24"/>
        </w:rPr>
        <w:t>本次</w:t>
      </w:r>
      <w:r>
        <w:rPr>
          <w:rFonts w:hint="eastAsia" w:ascii="仿宋" w:hAnsi="仿宋" w:eastAsia="仿宋"/>
          <w:sz w:val="24"/>
          <w:szCs w:val="24"/>
        </w:rPr>
        <w:t>等保测评项目不得转包或者分包，所有驻场测评师必须是中标公司自己的正式员工,所有驻场测评师必须持证上岗，响应文件中应提供项目组成员名单、社保主管部门出具的响应单位为其缴纳社保的证明、相关证书复印件等，未经采购方同意，项目组成员不得更改。</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2、测评时间要求：按照被测单位要求，合同签订完毕一周内启动测评工作。</w:t>
      </w:r>
    </w:p>
    <w:p>
      <w:pPr>
        <w:autoSpaceDE w:val="0"/>
        <w:autoSpaceDN w:val="0"/>
        <w:adjustRightInd w:val="0"/>
        <w:snapToGrid w:val="0"/>
        <w:spacing w:line="360" w:lineRule="auto"/>
        <w:ind w:firstLine="480" w:firstLineChars="200"/>
        <w:jc w:val="left"/>
        <w:rPr>
          <w:rFonts w:ascii="仿宋" w:hAnsi="仿宋" w:eastAsia="仿宋"/>
          <w:b/>
          <w:sz w:val="24"/>
          <w:szCs w:val="24"/>
        </w:rPr>
      </w:pPr>
      <w:r>
        <w:rPr>
          <w:rFonts w:hint="eastAsia" w:ascii="仿宋" w:hAnsi="仿宋" w:eastAsia="仿宋"/>
          <w:sz w:val="24"/>
          <w:szCs w:val="24"/>
        </w:rPr>
        <w:t>3、测评期限要求：合同签订后</w:t>
      </w:r>
      <w:r>
        <w:rPr>
          <w:rFonts w:ascii="仿宋" w:hAnsi="仿宋" w:eastAsia="仿宋"/>
          <w:sz w:val="24"/>
          <w:szCs w:val="24"/>
        </w:rPr>
        <w:t>60</w:t>
      </w:r>
      <w:r>
        <w:rPr>
          <w:rFonts w:hint="eastAsia" w:ascii="仿宋" w:hAnsi="仿宋" w:eastAsia="仿宋"/>
          <w:sz w:val="24"/>
          <w:szCs w:val="24"/>
        </w:rPr>
        <w:t>日内完成等保测评出具加盖等级保护专用章的测评报告，</w:t>
      </w:r>
      <w:r>
        <w:rPr>
          <w:rFonts w:hint="eastAsia" w:ascii="仿宋" w:hAnsi="仿宋" w:eastAsia="仿宋"/>
          <w:b/>
          <w:sz w:val="24"/>
          <w:szCs w:val="24"/>
        </w:rPr>
        <w:t>并完成在南通市公安局网安支队备案。</w:t>
      </w:r>
    </w:p>
    <w:p>
      <w:pPr>
        <w:adjustRightInd w:val="0"/>
        <w:snapToGrid w:val="0"/>
        <w:spacing w:line="360" w:lineRule="auto"/>
        <w:ind w:firstLine="482" w:firstLineChars="200"/>
        <w:rPr>
          <w:rFonts w:ascii="仿宋" w:hAnsi="仿宋" w:eastAsia="仿宋"/>
          <w:b/>
          <w:sz w:val="24"/>
          <w:szCs w:val="24"/>
        </w:rPr>
      </w:pPr>
      <w:r>
        <w:rPr>
          <w:rFonts w:hint="eastAsia" w:ascii="仿宋" w:hAnsi="仿宋" w:eastAsia="仿宋"/>
          <w:b/>
          <w:sz w:val="24"/>
          <w:szCs w:val="24"/>
        </w:rPr>
        <w:t>（四）其他</w:t>
      </w:r>
    </w:p>
    <w:p>
      <w:pPr>
        <w:autoSpaceDE w:val="0"/>
        <w:autoSpaceDN w:val="0"/>
        <w:adjustRightInd w:val="0"/>
        <w:snapToGrid w:val="0"/>
        <w:spacing w:line="360" w:lineRule="auto"/>
        <w:ind w:firstLine="482" w:firstLineChars="200"/>
        <w:jc w:val="left"/>
        <w:rPr>
          <w:rFonts w:ascii="仿宋" w:hAnsi="仿宋" w:eastAsia="仿宋"/>
          <w:sz w:val="24"/>
          <w:szCs w:val="24"/>
        </w:rPr>
      </w:pPr>
      <w:r>
        <w:rPr>
          <w:rFonts w:hint="eastAsia" w:ascii="仿宋" w:hAnsi="仿宋" w:eastAsia="仿宋"/>
          <w:b/>
          <w:bCs/>
          <w:sz w:val="24"/>
          <w:szCs w:val="24"/>
        </w:rPr>
        <w:t>1、签定合同日期：</w:t>
      </w:r>
      <w:r>
        <w:rPr>
          <w:rFonts w:hint="eastAsia" w:ascii="仿宋" w:hAnsi="仿宋" w:eastAsia="仿宋"/>
          <w:sz w:val="24"/>
          <w:szCs w:val="24"/>
        </w:rPr>
        <w:t>自中标（成交）通知书发出之日起</w:t>
      </w:r>
      <w:r>
        <w:rPr>
          <w:rFonts w:ascii="仿宋" w:hAnsi="仿宋" w:eastAsia="仿宋"/>
          <w:sz w:val="24"/>
          <w:szCs w:val="24"/>
        </w:rPr>
        <w:t>30</w:t>
      </w:r>
      <w:r>
        <w:rPr>
          <w:rFonts w:hint="eastAsia" w:ascii="仿宋" w:hAnsi="仿宋" w:eastAsia="仿宋"/>
          <w:sz w:val="24"/>
          <w:szCs w:val="24"/>
        </w:rPr>
        <w:t>个工作日内按时签约。</w:t>
      </w:r>
    </w:p>
    <w:p>
      <w:pPr>
        <w:autoSpaceDE w:val="0"/>
        <w:autoSpaceDN w:val="0"/>
        <w:adjustRightInd w:val="0"/>
        <w:snapToGrid w:val="0"/>
        <w:spacing w:line="360" w:lineRule="auto"/>
        <w:ind w:firstLine="482" w:firstLineChars="200"/>
        <w:jc w:val="left"/>
        <w:rPr>
          <w:rFonts w:ascii="仿宋" w:hAnsi="仿宋" w:eastAsia="仿宋"/>
          <w:sz w:val="24"/>
          <w:szCs w:val="24"/>
        </w:rPr>
      </w:pPr>
      <w:r>
        <w:rPr>
          <w:rFonts w:hint="eastAsia" w:ascii="仿宋" w:hAnsi="仿宋" w:eastAsia="仿宋"/>
          <w:b/>
          <w:bCs/>
          <w:sz w:val="24"/>
          <w:szCs w:val="24"/>
        </w:rPr>
        <w:t>2、服务时间：</w:t>
      </w:r>
      <w:r>
        <w:rPr>
          <w:rFonts w:hint="eastAsia" w:ascii="仿宋" w:hAnsi="仿宋" w:eastAsia="仿宋"/>
          <w:sz w:val="24"/>
          <w:szCs w:val="24"/>
        </w:rPr>
        <w:t>自合同签定之日起</w:t>
      </w:r>
      <w:r>
        <w:rPr>
          <w:rFonts w:ascii="仿宋" w:hAnsi="仿宋" w:eastAsia="仿宋"/>
          <w:sz w:val="24"/>
          <w:szCs w:val="24"/>
        </w:rPr>
        <w:t>60</w:t>
      </w:r>
      <w:r>
        <w:rPr>
          <w:rFonts w:hint="eastAsia" w:ascii="仿宋" w:hAnsi="仿宋" w:eastAsia="仿宋"/>
          <w:sz w:val="24"/>
          <w:szCs w:val="24"/>
        </w:rPr>
        <w:t>天内。</w:t>
      </w:r>
    </w:p>
    <w:p>
      <w:pPr>
        <w:autoSpaceDE w:val="0"/>
        <w:autoSpaceDN w:val="0"/>
        <w:adjustRightInd w:val="0"/>
        <w:snapToGrid w:val="0"/>
        <w:spacing w:line="360" w:lineRule="auto"/>
        <w:ind w:firstLine="482" w:firstLineChars="200"/>
        <w:jc w:val="left"/>
        <w:rPr>
          <w:rFonts w:ascii="仿宋" w:hAnsi="仿宋" w:eastAsia="仿宋"/>
          <w:sz w:val="24"/>
          <w:szCs w:val="24"/>
        </w:rPr>
      </w:pPr>
      <w:r>
        <w:rPr>
          <w:rFonts w:hint="eastAsia" w:ascii="仿宋" w:hAnsi="仿宋" w:eastAsia="仿宋"/>
          <w:b/>
          <w:bCs/>
          <w:sz w:val="24"/>
          <w:szCs w:val="24"/>
        </w:rPr>
        <w:t>3、交货（服务）地点：</w:t>
      </w:r>
      <w:r>
        <w:rPr>
          <w:rFonts w:hint="eastAsia" w:ascii="仿宋" w:hAnsi="仿宋" w:eastAsia="仿宋"/>
          <w:sz w:val="24"/>
          <w:szCs w:val="24"/>
        </w:rPr>
        <w:t>采购人</w:t>
      </w:r>
      <w:r>
        <w:rPr>
          <w:rFonts w:ascii="仿宋" w:hAnsi="仿宋" w:eastAsia="仿宋"/>
          <w:sz w:val="24"/>
          <w:szCs w:val="24"/>
        </w:rPr>
        <w:t>指定地点</w:t>
      </w:r>
      <w:r>
        <w:rPr>
          <w:rFonts w:hint="eastAsia" w:ascii="仿宋" w:hAnsi="仿宋" w:eastAsia="仿宋"/>
          <w:sz w:val="24"/>
          <w:szCs w:val="24"/>
        </w:rPr>
        <w:t>。</w:t>
      </w:r>
    </w:p>
    <w:p>
      <w:pPr>
        <w:autoSpaceDE w:val="0"/>
        <w:autoSpaceDN w:val="0"/>
        <w:adjustRightInd w:val="0"/>
        <w:snapToGrid w:val="0"/>
        <w:spacing w:line="360" w:lineRule="auto"/>
        <w:ind w:firstLine="482" w:firstLineChars="200"/>
        <w:jc w:val="left"/>
        <w:rPr>
          <w:rFonts w:ascii="仿宋" w:hAnsi="仿宋" w:eastAsia="仿宋"/>
          <w:b/>
          <w:bCs/>
          <w:sz w:val="24"/>
          <w:szCs w:val="24"/>
        </w:rPr>
      </w:pPr>
      <w:r>
        <w:rPr>
          <w:rFonts w:hint="eastAsia" w:ascii="仿宋" w:hAnsi="仿宋" w:eastAsia="仿宋"/>
          <w:b/>
          <w:bCs/>
          <w:sz w:val="24"/>
          <w:szCs w:val="24"/>
        </w:rPr>
        <w:t>4、付款方式</w:t>
      </w:r>
    </w:p>
    <w:p>
      <w:pPr>
        <w:autoSpaceDE w:val="0"/>
        <w:autoSpaceDN w:val="0"/>
        <w:adjustRightInd w:val="0"/>
        <w:snapToGrid w:val="0"/>
        <w:spacing w:line="360" w:lineRule="auto"/>
        <w:ind w:firstLine="480" w:firstLineChars="200"/>
        <w:jc w:val="left"/>
        <w:rPr>
          <w:rFonts w:ascii="仿宋" w:hAnsi="仿宋" w:eastAsia="仿宋"/>
          <w:sz w:val="24"/>
          <w:szCs w:val="24"/>
        </w:rPr>
      </w:pPr>
      <w:r>
        <w:rPr>
          <w:rFonts w:hint="eastAsia" w:ascii="仿宋" w:hAnsi="仿宋" w:eastAsia="仿宋"/>
          <w:sz w:val="24"/>
          <w:szCs w:val="24"/>
        </w:rPr>
        <w:t>提交测评报告后,采购人于7个工作日内一次性支付合同金额。</w:t>
      </w:r>
    </w:p>
    <w:p>
      <w:pPr>
        <w:widowControl/>
        <w:jc w:val="left"/>
        <w:rPr>
          <w:rFonts w:ascii="仿宋" w:hAnsi="仿宋" w:eastAsia="仿宋" w:cs="仿宋"/>
          <w:b/>
          <w:bCs/>
          <w:kern w:val="44"/>
          <w:sz w:val="44"/>
          <w:szCs w:val="44"/>
        </w:rPr>
      </w:pPr>
      <w:r>
        <w:rPr>
          <w:rFonts w:hint="eastAsia" w:ascii="仿宋" w:hAnsi="仿宋" w:eastAsia="仿宋" w:cs="仿宋"/>
        </w:rPr>
        <w:br w:type="page"/>
      </w:r>
    </w:p>
    <w:p>
      <w:pPr>
        <w:keepNext/>
        <w:keepLines/>
        <w:spacing w:before="240" w:after="240" w:line="360" w:lineRule="auto"/>
        <w:jc w:val="center"/>
        <w:outlineLvl w:val="0"/>
        <w:rPr>
          <w:rFonts w:ascii="仿宋" w:hAnsi="仿宋" w:eastAsia="仿宋" w:cs="仿宋"/>
          <w:b/>
          <w:bCs/>
          <w:kern w:val="44"/>
          <w:sz w:val="44"/>
          <w:szCs w:val="44"/>
        </w:rPr>
      </w:pPr>
      <w:bookmarkStart w:id="5" w:name="_Toc21508372"/>
      <w:bookmarkStart w:id="6" w:name="_Toc71645865"/>
      <w:r>
        <w:rPr>
          <w:rFonts w:hint="eastAsia" w:ascii="仿宋" w:hAnsi="仿宋" w:eastAsia="仿宋" w:cs="仿宋"/>
          <w:b/>
          <w:bCs/>
          <w:kern w:val="44"/>
          <w:sz w:val="44"/>
          <w:szCs w:val="44"/>
        </w:rPr>
        <w:t>第四章评标办法</w:t>
      </w:r>
      <w:bookmarkEnd w:id="5"/>
      <w:bookmarkEnd w:id="6"/>
    </w:p>
    <w:p>
      <w:pPr>
        <w:tabs>
          <w:tab w:val="left" w:pos="3585"/>
        </w:tabs>
        <w:snapToGrid w:val="0"/>
        <w:spacing w:before="156" w:beforeLines="50" w:after="156" w:afterLines="50" w:line="360" w:lineRule="auto"/>
        <w:ind w:firstLine="472" w:firstLineChars="196"/>
        <w:jc w:val="left"/>
        <w:rPr>
          <w:rFonts w:ascii="仿宋" w:hAnsi="仿宋" w:eastAsia="仿宋" w:cs="仿宋"/>
          <w:b/>
          <w:sz w:val="24"/>
          <w:szCs w:val="24"/>
        </w:rPr>
      </w:pPr>
      <w:r>
        <w:rPr>
          <w:rFonts w:hint="eastAsia" w:ascii="仿宋" w:hAnsi="仿宋" w:eastAsia="仿宋" w:cs="仿宋"/>
          <w:b/>
          <w:bCs/>
          <w:sz w:val="24"/>
          <w:szCs w:val="24"/>
        </w:rPr>
        <w:t>一、</w:t>
      </w:r>
      <w:r>
        <w:rPr>
          <w:rFonts w:hint="eastAsia" w:ascii="仿宋" w:hAnsi="仿宋" w:eastAsia="仿宋" w:cs="仿宋"/>
          <w:b/>
          <w:sz w:val="24"/>
          <w:szCs w:val="24"/>
        </w:rPr>
        <w:t>招标人组织开标</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投标人的法定代表人或授权人须持有效身份证参加开标会。</w:t>
      </w:r>
    </w:p>
    <w:p>
      <w:pPr>
        <w:tabs>
          <w:tab w:val="left" w:pos="3585"/>
        </w:tabs>
        <w:snapToGrid w:val="0"/>
        <w:spacing w:before="156" w:beforeLines="50" w:after="156" w:afterLines="50" w:line="360" w:lineRule="auto"/>
        <w:ind w:firstLine="472" w:firstLineChars="196"/>
        <w:jc w:val="left"/>
        <w:rPr>
          <w:rFonts w:ascii="仿宋" w:hAnsi="仿宋" w:eastAsia="仿宋" w:cs="仿宋"/>
          <w:b/>
          <w:bCs/>
          <w:sz w:val="24"/>
          <w:szCs w:val="24"/>
        </w:rPr>
      </w:pPr>
      <w:r>
        <w:rPr>
          <w:rFonts w:hint="eastAsia" w:ascii="仿宋" w:hAnsi="仿宋" w:eastAsia="仿宋" w:cs="仿宋"/>
          <w:b/>
          <w:bCs/>
          <w:sz w:val="24"/>
          <w:szCs w:val="24"/>
        </w:rPr>
        <w:t>二、评委会的组成</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评委会由招标人代表和委托的专家共3人以上单数组成，对投标文件进行审查、质疑、评估、比较。评委会按照公平、公正、择优的原则进行独立评标。</w:t>
      </w:r>
    </w:p>
    <w:p>
      <w:pPr>
        <w:snapToGrid w:val="0"/>
        <w:spacing w:line="360" w:lineRule="auto"/>
        <w:ind w:firstLine="482" w:firstLineChars="200"/>
        <w:jc w:val="left"/>
        <w:rPr>
          <w:rFonts w:ascii="仿宋" w:hAnsi="仿宋" w:eastAsia="仿宋" w:cs="仿宋"/>
          <w:b/>
          <w:sz w:val="24"/>
          <w:szCs w:val="24"/>
        </w:rPr>
      </w:pPr>
      <w:r>
        <w:rPr>
          <w:rFonts w:hint="eastAsia" w:ascii="仿宋" w:hAnsi="仿宋" w:eastAsia="仿宋" w:cs="仿宋"/>
          <w:b/>
          <w:sz w:val="24"/>
          <w:szCs w:val="24"/>
        </w:rPr>
        <w:t>（一）评审内容</w:t>
      </w:r>
    </w:p>
    <w:p>
      <w:pPr>
        <w:snapToGrid w:val="0"/>
        <w:spacing w:line="360" w:lineRule="auto"/>
        <w:ind w:firstLine="470" w:firstLineChars="196"/>
        <w:jc w:val="left"/>
        <w:rPr>
          <w:rFonts w:ascii="仿宋" w:hAnsi="仿宋" w:eastAsia="仿宋" w:cs="仿宋"/>
          <w:sz w:val="24"/>
          <w:szCs w:val="24"/>
        </w:rPr>
      </w:pPr>
      <w:r>
        <w:rPr>
          <w:rFonts w:hint="eastAsia" w:ascii="仿宋" w:hAnsi="仿宋" w:eastAsia="仿宋" w:cs="仿宋"/>
          <w:sz w:val="24"/>
          <w:szCs w:val="24"/>
        </w:rPr>
        <w:t>1、投标人投标资格；</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2、要求的保证金是否已提供；</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3、投标文件是否完整；</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4、投标文件是否恰当地签署；</w:t>
      </w:r>
    </w:p>
    <w:p>
      <w:pPr>
        <w:snapToGrid w:val="0"/>
        <w:spacing w:line="360" w:lineRule="auto"/>
        <w:ind w:firstLine="480" w:firstLineChars="200"/>
        <w:jc w:val="left"/>
        <w:rPr>
          <w:rFonts w:ascii="仿宋" w:hAnsi="仿宋" w:eastAsia="仿宋" w:cs="仿宋"/>
          <w:b/>
          <w:sz w:val="24"/>
          <w:szCs w:val="24"/>
        </w:rPr>
      </w:pPr>
      <w:r>
        <w:rPr>
          <w:rFonts w:hint="eastAsia" w:ascii="仿宋" w:hAnsi="仿宋" w:eastAsia="仿宋" w:cs="仿宋"/>
          <w:sz w:val="24"/>
          <w:szCs w:val="24"/>
        </w:rPr>
        <w:t>5、是否作出实质性响应（</w:t>
      </w:r>
      <w:r>
        <w:rPr>
          <w:rFonts w:hint="eastAsia" w:ascii="仿宋" w:hAnsi="仿宋" w:eastAsia="仿宋" w:cs="仿宋"/>
          <w:b/>
          <w:sz w:val="24"/>
          <w:szCs w:val="24"/>
        </w:rPr>
        <w:t>是否有实质性响应，只根据投标文件本身，而不寻求外部证据）；</w:t>
      </w:r>
    </w:p>
    <w:p>
      <w:pPr>
        <w:snapToGrid w:val="0"/>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6、是否有计算错误。</w:t>
      </w:r>
    </w:p>
    <w:p>
      <w:pPr>
        <w:snapToGrid w:val="0"/>
        <w:spacing w:line="360" w:lineRule="auto"/>
        <w:ind w:firstLine="482" w:firstLineChars="200"/>
        <w:jc w:val="left"/>
        <w:rPr>
          <w:rFonts w:ascii="仿宋" w:hAnsi="仿宋" w:eastAsia="仿宋" w:cs="仿宋"/>
          <w:b/>
          <w:bCs/>
          <w:sz w:val="24"/>
          <w:szCs w:val="24"/>
        </w:rPr>
      </w:pPr>
      <w:r>
        <w:rPr>
          <w:rFonts w:hint="eastAsia" w:ascii="仿宋" w:hAnsi="仿宋" w:eastAsia="仿宋" w:cs="仿宋"/>
          <w:b/>
          <w:bCs/>
          <w:sz w:val="24"/>
          <w:szCs w:val="24"/>
        </w:rPr>
        <w:t>（二）相应的规定</w:t>
      </w:r>
    </w:p>
    <w:p>
      <w:pPr>
        <w:snapToGrid w:val="0"/>
        <w:spacing w:line="360" w:lineRule="auto"/>
        <w:ind w:firstLine="480" w:firstLineChars="200"/>
        <w:jc w:val="left"/>
        <w:rPr>
          <w:rFonts w:ascii="仿宋" w:hAnsi="仿宋" w:eastAsia="仿宋" w:cs="仿宋"/>
          <w:sz w:val="24"/>
          <w:szCs w:val="24"/>
        </w:rPr>
      </w:pPr>
      <w:r>
        <w:rPr>
          <w:rFonts w:hint="eastAsia" w:ascii="仿宋" w:hAnsi="仿宋" w:eastAsia="仿宋" w:cs="仿宋"/>
          <w:bCs/>
          <w:sz w:val="24"/>
          <w:szCs w:val="24"/>
        </w:rPr>
        <w:t>1、</w:t>
      </w:r>
      <w:r>
        <w:rPr>
          <w:rFonts w:hint="eastAsia" w:ascii="仿宋" w:hAnsi="仿宋" w:eastAsia="仿宋" w:cs="仿宋"/>
          <w:sz w:val="24"/>
          <w:szCs w:val="24"/>
        </w:rPr>
        <w:t>如果单价汇总金额与总价金额有出入，以单价金额计算结果为准；</w:t>
      </w:r>
    </w:p>
    <w:p>
      <w:pPr>
        <w:snapToGrid w:val="0"/>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2、单价金额小数点有明显错位的，应以总价为准；</w:t>
      </w:r>
    </w:p>
    <w:p>
      <w:pPr>
        <w:snapToGrid w:val="0"/>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3、正本与副本有矛盾的，以正本为准；</w:t>
      </w:r>
    </w:p>
    <w:p>
      <w:pPr>
        <w:snapToGrid w:val="0"/>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4、若文件大写表示的数据与数字表示的有差别，以大写表示的数据为准。</w:t>
      </w:r>
    </w:p>
    <w:p>
      <w:pPr>
        <w:tabs>
          <w:tab w:val="left" w:pos="3585"/>
        </w:tabs>
        <w:snapToGrid w:val="0"/>
        <w:spacing w:before="156" w:beforeLines="50" w:after="156" w:afterLines="50" w:line="360" w:lineRule="auto"/>
        <w:ind w:firstLine="472" w:firstLineChars="196"/>
        <w:jc w:val="left"/>
        <w:rPr>
          <w:rFonts w:ascii="仿宋" w:hAnsi="仿宋" w:eastAsia="仿宋" w:cs="仿宋"/>
          <w:b/>
          <w:bCs/>
          <w:sz w:val="24"/>
          <w:szCs w:val="24"/>
        </w:rPr>
      </w:pPr>
      <w:r>
        <w:rPr>
          <w:rFonts w:hint="eastAsia" w:ascii="仿宋" w:hAnsi="仿宋" w:eastAsia="仿宋" w:cs="仿宋"/>
          <w:b/>
          <w:bCs/>
          <w:sz w:val="24"/>
          <w:szCs w:val="24"/>
        </w:rPr>
        <w:t>三、陈述、演示、答疑、澄清</w:t>
      </w:r>
    </w:p>
    <w:p>
      <w:pPr>
        <w:snapToGrid w:val="0"/>
        <w:spacing w:line="360" w:lineRule="auto"/>
        <w:ind w:firstLine="480" w:firstLineChars="200"/>
        <w:jc w:val="left"/>
        <w:rPr>
          <w:rFonts w:ascii="仿宋" w:hAnsi="仿宋" w:eastAsia="仿宋" w:cs="仿宋"/>
          <w:b/>
          <w:sz w:val="24"/>
          <w:szCs w:val="24"/>
        </w:rPr>
      </w:pPr>
      <w:r>
        <w:rPr>
          <w:rFonts w:hint="eastAsia" w:ascii="仿宋" w:hAnsi="仿宋" w:eastAsia="仿宋" w:cs="仿宋"/>
          <w:sz w:val="24"/>
          <w:szCs w:val="24"/>
          <w:shd w:val="clear" w:color="auto" w:fill="FFFFFF"/>
        </w:rPr>
        <w:t>如评委会认为有必要，投标人按评委会的要求作陈述、演示、</w:t>
      </w:r>
      <w:r>
        <w:rPr>
          <w:rFonts w:hint="eastAsia" w:ascii="仿宋" w:hAnsi="仿宋" w:eastAsia="仿宋" w:cs="仿宋"/>
          <w:sz w:val="24"/>
          <w:szCs w:val="24"/>
        </w:rPr>
        <w:t>答疑及澄清其投标内容。时间由</w:t>
      </w:r>
      <w:r>
        <w:rPr>
          <w:rFonts w:hint="eastAsia" w:ascii="仿宋" w:hAnsi="仿宋" w:eastAsia="仿宋" w:cs="仿宋"/>
          <w:sz w:val="24"/>
          <w:szCs w:val="24"/>
          <w:shd w:val="clear" w:color="auto" w:fill="FFFFFF"/>
        </w:rPr>
        <w:t>评委会</w:t>
      </w:r>
      <w:r>
        <w:rPr>
          <w:rFonts w:hint="eastAsia" w:ascii="仿宋" w:hAnsi="仿宋" w:eastAsia="仿宋" w:cs="仿宋"/>
          <w:sz w:val="24"/>
          <w:szCs w:val="24"/>
        </w:rPr>
        <w:t>掌握。</w:t>
      </w:r>
    </w:p>
    <w:p>
      <w:pPr>
        <w:snapToGrid w:val="0"/>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重要澄清答复应是书面的，但不得对投标内容进行实质性修改。</w:t>
      </w:r>
    </w:p>
    <w:p>
      <w:pPr>
        <w:tabs>
          <w:tab w:val="left" w:pos="3585"/>
        </w:tabs>
        <w:snapToGrid w:val="0"/>
        <w:spacing w:before="156" w:beforeLines="50" w:after="156" w:afterLines="50" w:line="360" w:lineRule="auto"/>
        <w:ind w:firstLine="472" w:firstLineChars="196"/>
        <w:jc w:val="left"/>
        <w:rPr>
          <w:rFonts w:ascii="仿宋" w:hAnsi="仿宋" w:eastAsia="仿宋" w:cs="仿宋"/>
          <w:b/>
          <w:bCs/>
          <w:sz w:val="24"/>
          <w:szCs w:val="24"/>
        </w:rPr>
      </w:pPr>
      <w:r>
        <w:rPr>
          <w:rFonts w:hint="eastAsia" w:ascii="仿宋" w:hAnsi="仿宋" w:eastAsia="仿宋" w:cs="仿宋"/>
          <w:b/>
          <w:bCs/>
          <w:sz w:val="24"/>
          <w:szCs w:val="24"/>
        </w:rPr>
        <w:t>四、出现下列情形之一的，作无效投标处理</w:t>
      </w:r>
    </w:p>
    <w:p>
      <w:pPr>
        <w:snapToGrid w:val="0"/>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1、未按照招标文件规定要求装订、标记、密封、签署、盖章的；</w:t>
      </w:r>
    </w:p>
    <w:p>
      <w:pPr>
        <w:snapToGrid w:val="0"/>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2、不具备招标文件中规定的技术规格参数要求的；</w:t>
      </w:r>
    </w:p>
    <w:p>
      <w:pPr>
        <w:snapToGrid w:val="0"/>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3、不符合法律、法规和招标文件中规定的其他实质性要求的。</w:t>
      </w:r>
    </w:p>
    <w:p>
      <w:pPr>
        <w:tabs>
          <w:tab w:val="left" w:pos="3585"/>
        </w:tabs>
        <w:snapToGrid w:val="0"/>
        <w:spacing w:before="156" w:beforeLines="50" w:after="156" w:afterLines="50" w:line="360" w:lineRule="auto"/>
        <w:ind w:firstLine="472" w:firstLineChars="196"/>
        <w:jc w:val="left"/>
        <w:rPr>
          <w:rFonts w:ascii="仿宋" w:hAnsi="仿宋" w:eastAsia="仿宋" w:cs="仿宋"/>
          <w:b/>
          <w:bCs/>
          <w:sz w:val="24"/>
          <w:szCs w:val="24"/>
        </w:rPr>
      </w:pPr>
      <w:r>
        <w:rPr>
          <w:rFonts w:hint="eastAsia" w:ascii="仿宋" w:hAnsi="仿宋" w:eastAsia="仿宋" w:cs="仿宋"/>
          <w:b/>
          <w:bCs/>
          <w:sz w:val="24"/>
          <w:szCs w:val="24"/>
        </w:rPr>
        <w:t>五、出现下列情形之一的，作废标处理</w:t>
      </w:r>
    </w:p>
    <w:p>
      <w:pPr>
        <w:snapToGrid w:val="0"/>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1、出现影响采购公正的违法违规行为的；</w:t>
      </w:r>
    </w:p>
    <w:p>
      <w:pPr>
        <w:snapToGrid w:val="0"/>
        <w:spacing w:line="360" w:lineRule="auto"/>
        <w:ind w:firstLine="480" w:firstLineChars="200"/>
        <w:jc w:val="left"/>
        <w:rPr>
          <w:rFonts w:ascii="仿宋" w:hAnsi="仿宋" w:eastAsia="仿宋" w:cs="仿宋"/>
          <w:sz w:val="24"/>
          <w:szCs w:val="24"/>
        </w:rPr>
      </w:pPr>
      <w:r>
        <w:rPr>
          <w:rFonts w:ascii="仿宋" w:hAnsi="仿宋" w:eastAsia="仿宋" w:cs="仿宋"/>
          <w:sz w:val="24"/>
          <w:szCs w:val="24"/>
        </w:rPr>
        <w:t>2</w:t>
      </w:r>
      <w:r>
        <w:rPr>
          <w:rFonts w:hint="eastAsia" w:ascii="仿宋" w:hAnsi="仿宋" w:eastAsia="仿宋" w:cs="仿宋"/>
          <w:sz w:val="24"/>
          <w:szCs w:val="24"/>
        </w:rPr>
        <w:t>、投标人的报价均超过了采购预算，采购人不能支付的；</w:t>
      </w:r>
    </w:p>
    <w:p>
      <w:pPr>
        <w:snapToGrid w:val="0"/>
        <w:spacing w:line="360" w:lineRule="auto"/>
        <w:ind w:firstLine="480" w:firstLineChars="200"/>
        <w:jc w:val="left"/>
        <w:rPr>
          <w:rFonts w:ascii="仿宋" w:hAnsi="仿宋" w:eastAsia="仿宋" w:cs="仿宋"/>
          <w:sz w:val="24"/>
          <w:szCs w:val="24"/>
        </w:rPr>
      </w:pPr>
      <w:r>
        <w:rPr>
          <w:rFonts w:ascii="仿宋" w:hAnsi="仿宋" w:eastAsia="仿宋" w:cs="仿宋"/>
          <w:sz w:val="24"/>
          <w:szCs w:val="24"/>
        </w:rPr>
        <w:t>3</w:t>
      </w:r>
      <w:r>
        <w:rPr>
          <w:rFonts w:hint="eastAsia" w:ascii="仿宋" w:hAnsi="仿宋" w:eastAsia="仿宋" w:cs="仿宋"/>
          <w:sz w:val="24"/>
          <w:szCs w:val="24"/>
        </w:rPr>
        <w:t>、因重大变故，采购任务取消的。</w:t>
      </w:r>
    </w:p>
    <w:p>
      <w:pPr>
        <w:snapToGrid w:val="0"/>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上述均保留</w:t>
      </w:r>
      <w:r>
        <w:rPr>
          <w:rFonts w:hint="eastAsia" w:ascii="仿宋" w:hAnsi="仿宋" w:eastAsia="仿宋" w:cs="仿宋"/>
          <w:sz w:val="24"/>
          <w:szCs w:val="24"/>
          <w:shd w:val="clear" w:color="auto" w:fill="FFFFFF"/>
        </w:rPr>
        <w:t>评委会</w:t>
      </w:r>
      <w:r>
        <w:rPr>
          <w:rFonts w:hint="eastAsia" w:ascii="仿宋" w:hAnsi="仿宋" w:eastAsia="仿宋" w:cs="仿宋"/>
          <w:sz w:val="24"/>
          <w:szCs w:val="24"/>
        </w:rPr>
        <w:t>认定可以确定为无效投标或废标的其他情况。</w:t>
      </w:r>
    </w:p>
    <w:p>
      <w:pPr>
        <w:tabs>
          <w:tab w:val="left" w:pos="3585"/>
        </w:tabs>
        <w:snapToGrid w:val="0"/>
        <w:spacing w:before="156" w:beforeLines="50" w:after="156" w:afterLines="50" w:line="360" w:lineRule="auto"/>
        <w:ind w:firstLine="472" w:firstLineChars="196"/>
        <w:jc w:val="left"/>
        <w:rPr>
          <w:rFonts w:ascii="仿宋" w:hAnsi="仿宋" w:eastAsia="仿宋" w:cs="仿宋"/>
          <w:b/>
          <w:bCs/>
          <w:sz w:val="24"/>
          <w:szCs w:val="24"/>
        </w:rPr>
      </w:pPr>
      <w:r>
        <w:rPr>
          <w:rFonts w:hint="eastAsia" w:ascii="仿宋" w:hAnsi="仿宋" w:eastAsia="仿宋" w:cs="仿宋"/>
          <w:b/>
          <w:bCs/>
          <w:sz w:val="24"/>
          <w:szCs w:val="24"/>
        </w:rPr>
        <w:t>六、变更为其他方式采购的情形</w:t>
      </w:r>
    </w:p>
    <w:p>
      <w:pPr>
        <w:autoSpaceDE w:val="0"/>
        <w:autoSpaceDN w:val="0"/>
        <w:snapToGrid w:val="0"/>
        <w:spacing w:line="360" w:lineRule="auto"/>
        <w:ind w:firstLine="480" w:firstLineChars="200"/>
        <w:jc w:val="left"/>
        <w:rPr>
          <w:rFonts w:ascii="仿宋" w:hAnsi="仿宋" w:eastAsia="仿宋" w:cs="仿宋"/>
          <w:sz w:val="24"/>
          <w:szCs w:val="24"/>
          <w:lang w:val="zh-CN"/>
        </w:rPr>
      </w:pPr>
      <w:r>
        <w:rPr>
          <w:rFonts w:hint="eastAsia" w:ascii="仿宋" w:hAnsi="仿宋" w:eastAsia="仿宋" w:cs="仿宋"/>
          <w:sz w:val="24"/>
          <w:szCs w:val="24"/>
        </w:rPr>
        <w:t>投标截止时间出现如下情形的，参加投标的供应商不足3家的，及评标中出现符合专业条件的供应商或对招标文件作实质响应的投标人不足3家的，招标人有权视情采取其他方式采购。</w:t>
      </w:r>
      <w:r>
        <w:rPr>
          <w:rFonts w:hint="eastAsia" w:ascii="仿宋" w:hAnsi="仿宋" w:eastAsia="仿宋" w:cs="仿宋"/>
          <w:sz w:val="24"/>
          <w:szCs w:val="24"/>
          <w:lang w:val="zh-CN"/>
        </w:rPr>
        <w:t>本次招标文件中对供应商资格、技术等要求，将作为</w:t>
      </w:r>
      <w:r>
        <w:rPr>
          <w:rFonts w:hint="eastAsia" w:ascii="仿宋" w:hAnsi="仿宋" w:eastAsia="仿宋" w:cs="仿宋"/>
          <w:sz w:val="24"/>
          <w:szCs w:val="24"/>
        </w:rPr>
        <w:t>其他</w:t>
      </w:r>
      <w:r>
        <w:rPr>
          <w:rFonts w:hint="eastAsia" w:ascii="仿宋" w:hAnsi="仿宋" w:eastAsia="仿宋" w:cs="仿宋"/>
          <w:sz w:val="24"/>
          <w:szCs w:val="24"/>
          <w:lang w:val="zh-CN"/>
        </w:rPr>
        <w:t>方式采购的基本要求和依据。原已经参加投标并符合要求的供应商，根据自愿原则，参加</w:t>
      </w:r>
      <w:r>
        <w:rPr>
          <w:rFonts w:hint="eastAsia" w:ascii="仿宋" w:hAnsi="仿宋" w:eastAsia="仿宋" w:cs="仿宋"/>
          <w:sz w:val="24"/>
          <w:szCs w:val="24"/>
        </w:rPr>
        <w:t>其他</w:t>
      </w:r>
      <w:r>
        <w:rPr>
          <w:rFonts w:hint="eastAsia" w:ascii="仿宋" w:hAnsi="仿宋" w:eastAsia="仿宋" w:cs="仿宋"/>
          <w:sz w:val="24"/>
          <w:szCs w:val="24"/>
          <w:lang w:val="zh-CN"/>
        </w:rPr>
        <w:t>方式采购。</w:t>
      </w:r>
    </w:p>
    <w:p>
      <w:pPr>
        <w:autoSpaceDE w:val="0"/>
        <w:autoSpaceDN w:val="0"/>
        <w:snapToGrid w:val="0"/>
        <w:spacing w:line="360" w:lineRule="auto"/>
        <w:ind w:firstLine="482" w:firstLineChars="200"/>
        <w:jc w:val="left"/>
        <w:rPr>
          <w:rFonts w:ascii="仿宋" w:hAnsi="仿宋" w:eastAsia="仿宋" w:cs="仿宋"/>
          <w:b/>
          <w:bCs/>
          <w:sz w:val="24"/>
          <w:szCs w:val="24"/>
        </w:rPr>
      </w:pPr>
      <w:r>
        <w:rPr>
          <w:rFonts w:ascii="仿宋" w:hAnsi="仿宋" w:eastAsia="仿宋" w:cs="仿宋"/>
          <w:b/>
          <w:bCs/>
          <w:sz w:val="24"/>
          <w:szCs w:val="24"/>
        </w:rPr>
        <w:t>七、评分标准</w:t>
      </w:r>
    </w:p>
    <w:p>
      <w:pPr>
        <w:snapToGrid w:val="0"/>
        <w:spacing w:line="300" w:lineRule="auto"/>
        <w:ind w:firstLine="555"/>
        <w:rPr>
          <w:rFonts w:ascii="仿宋" w:hAnsi="仿宋" w:eastAsia="仿宋" w:cs="仿宋"/>
          <w:sz w:val="24"/>
          <w:szCs w:val="24"/>
        </w:rPr>
      </w:pPr>
      <w:r>
        <w:rPr>
          <w:rFonts w:hint="eastAsia" w:ascii="仿宋" w:hAnsi="仿宋" w:eastAsia="仿宋" w:cs="仿宋"/>
          <w:sz w:val="24"/>
          <w:szCs w:val="24"/>
        </w:rPr>
        <w:t>商务技术部分评审结束后，再开启最后报价计算分值。总分值为100分，加分和减分因素除外。</w:t>
      </w:r>
    </w:p>
    <w:p>
      <w:pPr>
        <w:snapToGrid w:val="0"/>
        <w:spacing w:line="300" w:lineRule="auto"/>
        <w:ind w:firstLine="555"/>
        <w:rPr>
          <w:rFonts w:ascii="仿宋" w:hAnsi="仿宋" w:eastAsia="仿宋" w:cs="仿宋"/>
          <w:sz w:val="24"/>
          <w:szCs w:val="24"/>
        </w:rPr>
      </w:pPr>
      <w:r>
        <w:rPr>
          <w:rFonts w:hint="eastAsia" w:ascii="仿宋" w:hAnsi="仿宋" w:eastAsia="仿宋" w:cs="仿宋"/>
          <w:sz w:val="24"/>
          <w:szCs w:val="24"/>
        </w:rPr>
        <w:t>如果磋商小组由3人组成，供应商得分为磋商小组3个成员的平均分；如果磋商小组由5人以上组成，供应商得分为磋商小组成员评分中去除一个最高分和一个最低分后的平均分,分值保留小数点后两位。以下所设分值均为各条评分最大得分值，请评委根据各条评分内容在0~所设分值之间酌情打分。</w:t>
      </w:r>
    </w:p>
    <w:tbl>
      <w:tblPr>
        <w:tblStyle w:val="8"/>
        <w:tblW w:w="9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1302"/>
        <w:gridCol w:w="69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988" w:type="dxa"/>
            <w:noWrap/>
            <w:vAlign w:val="center"/>
          </w:tcPr>
          <w:p>
            <w:pPr>
              <w:snapToGrid w:val="0"/>
              <w:jc w:val="center"/>
              <w:rPr>
                <w:rFonts w:ascii="仿宋" w:hAnsi="仿宋" w:eastAsia="仿宋" w:cs="仿宋_GB2312"/>
                <w:b/>
                <w:bCs/>
                <w:sz w:val="24"/>
                <w:szCs w:val="24"/>
              </w:rPr>
            </w:pPr>
            <w:r>
              <w:rPr>
                <w:rFonts w:hint="eastAsia" w:ascii="仿宋" w:hAnsi="仿宋" w:eastAsia="仿宋" w:cs="仿宋_GB2312"/>
                <w:b/>
                <w:bCs/>
                <w:sz w:val="24"/>
                <w:szCs w:val="24"/>
              </w:rPr>
              <w:t>条款</w:t>
            </w:r>
          </w:p>
        </w:tc>
        <w:tc>
          <w:tcPr>
            <w:tcW w:w="1302" w:type="dxa"/>
            <w:noWrap/>
            <w:vAlign w:val="center"/>
          </w:tcPr>
          <w:p>
            <w:pPr>
              <w:snapToGrid w:val="0"/>
              <w:jc w:val="center"/>
              <w:rPr>
                <w:rFonts w:ascii="仿宋" w:hAnsi="仿宋" w:eastAsia="仿宋" w:cs="仿宋_GB2312"/>
                <w:b/>
                <w:bCs/>
                <w:sz w:val="24"/>
                <w:szCs w:val="24"/>
              </w:rPr>
            </w:pPr>
            <w:r>
              <w:rPr>
                <w:rFonts w:hint="eastAsia" w:ascii="仿宋" w:hAnsi="仿宋" w:eastAsia="仿宋" w:cs="仿宋_GB2312"/>
                <w:b/>
                <w:bCs/>
                <w:sz w:val="24"/>
                <w:szCs w:val="24"/>
              </w:rPr>
              <w:t>评分因素</w:t>
            </w:r>
          </w:p>
        </w:tc>
        <w:tc>
          <w:tcPr>
            <w:tcW w:w="6919" w:type="dxa"/>
            <w:noWrap/>
            <w:vAlign w:val="center"/>
          </w:tcPr>
          <w:p>
            <w:pPr>
              <w:snapToGrid w:val="0"/>
              <w:jc w:val="center"/>
              <w:rPr>
                <w:rFonts w:ascii="仿宋" w:hAnsi="仿宋" w:eastAsia="仿宋" w:cs="仿宋_GB2312"/>
                <w:b/>
                <w:bCs/>
                <w:sz w:val="24"/>
                <w:szCs w:val="24"/>
              </w:rPr>
            </w:pPr>
            <w:r>
              <w:rPr>
                <w:rFonts w:hint="eastAsia" w:ascii="仿宋" w:hAnsi="仿宋" w:eastAsia="仿宋" w:cs="仿宋_GB2312"/>
                <w:b/>
                <w:bCs/>
                <w:sz w:val="24"/>
                <w:szCs w:val="24"/>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988" w:type="dxa"/>
            <w:vMerge w:val="restart"/>
            <w:noWrap/>
            <w:vAlign w:val="center"/>
          </w:tcPr>
          <w:p>
            <w:pPr>
              <w:snapToGrid w:val="0"/>
              <w:jc w:val="center"/>
              <w:rPr>
                <w:rFonts w:ascii="仿宋" w:hAnsi="仿宋" w:eastAsia="仿宋" w:cs="仿宋_GB2312"/>
                <w:bCs/>
                <w:sz w:val="24"/>
                <w:szCs w:val="24"/>
              </w:rPr>
            </w:pPr>
            <w:r>
              <w:rPr>
                <w:rFonts w:hint="eastAsia" w:ascii="仿宋" w:hAnsi="仿宋" w:eastAsia="仿宋" w:cs="仿宋_GB2312"/>
                <w:bCs/>
                <w:sz w:val="24"/>
                <w:szCs w:val="24"/>
              </w:rPr>
              <w:t>技术商务标（7</w:t>
            </w:r>
            <w:r>
              <w:rPr>
                <w:rFonts w:ascii="仿宋" w:hAnsi="仿宋" w:eastAsia="仿宋" w:cs="仿宋_GB2312"/>
                <w:bCs/>
                <w:sz w:val="24"/>
                <w:szCs w:val="24"/>
              </w:rPr>
              <w:t>0</w:t>
            </w:r>
            <w:r>
              <w:rPr>
                <w:rFonts w:hint="eastAsia" w:ascii="仿宋" w:hAnsi="仿宋" w:eastAsia="仿宋" w:cs="仿宋_GB2312"/>
                <w:bCs/>
                <w:sz w:val="24"/>
                <w:szCs w:val="24"/>
              </w:rPr>
              <w:t>分）</w:t>
            </w:r>
          </w:p>
        </w:tc>
        <w:tc>
          <w:tcPr>
            <w:tcW w:w="1302" w:type="dxa"/>
            <w:noWrap/>
            <w:vAlign w:val="center"/>
          </w:tcPr>
          <w:p>
            <w:pPr>
              <w:snapToGrid w:val="0"/>
              <w:rPr>
                <w:rFonts w:ascii="仿宋" w:hAnsi="仿宋" w:eastAsia="仿宋" w:cs="仿宋_GB2312"/>
                <w:bCs/>
                <w:sz w:val="24"/>
                <w:szCs w:val="24"/>
              </w:rPr>
            </w:pPr>
            <w:r>
              <w:rPr>
                <w:rFonts w:hint="eastAsia" w:ascii="仿宋" w:hAnsi="仿宋" w:eastAsia="仿宋" w:cs="仿宋_GB2312"/>
                <w:bCs/>
                <w:sz w:val="24"/>
                <w:szCs w:val="24"/>
              </w:rPr>
              <w:t>公司资质（</w:t>
            </w:r>
            <w:r>
              <w:rPr>
                <w:rFonts w:ascii="仿宋" w:hAnsi="仿宋" w:eastAsia="仿宋" w:cs="仿宋_GB2312"/>
                <w:bCs/>
                <w:sz w:val="24"/>
                <w:szCs w:val="24"/>
              </w:rPr>
              <w:t>15</w:t>
            </w:r>
            <w:r>
              <w:rPr>
                <w:rFonts w:hint="eastAsia" w:ascii="仿宋" w:hAnsi="仿宋" w:eastAsia="仿宋" w:cs="仿宋_GB2312"/>
                <w:bCs/>
                <w:sz w:val="24"/>
                <w:szCs w:val="24"/>
              </w:rPr>
              <w:t>分）</w:t>
            </w:r>
          </w:p>
        </w:tc>
        <w:tc>
          <w:tcPr>
            <w:tcW w:w="6919" w:type="dxa"/>
            <w:noWrap/>
            <w:vAlign w:val="center"/>
          </w:tcPr>
          <w:p>
            <w:pPr>
              <w:pStyle w:val="18"/>
              <w:snapToGrid w:val="0"/>
              <w:spacing w:line="240" w:lineRule="auto"/>
              <w:ind w:firstLine="0"/>
              <w:rPr>
                <w:rFonts w:ascii="仿宋" w:hAnsi="仿宋" w:eastAsia="仿宋" w:cs="仿宋_GB2312"/>
                <w:bCs/>
                <w:sz w:val="24"/>
              </w:rPr>
            </w:pPr>
            <w:r>
              <w:rPr>
                <w:rFonts w:hint="eastAsia" w:ascii="仿宋" w:hAnsi="仿宋" w:eastAsia="仿宋" w:cs="仿宋_GB2312"/>
                <w:bCs/>
                <w:sz w:val="24"/>
              </w:rPr>
              <w:t>投标企业于</w:t>
            </w:r>
            <w:r>
              <w:rPr>
                <w:rFonts w:ascii="仿宋" w:hAnsi="仿宋" w:eastAsia="仿宋" w:cs="仿宋_GB2312"/>
                <w:bCs/>
                <w:sz w:val="24"/>
              </w:rPr>
              <w:t>2012</w:t>
            </w:r>
            <w:r>
              <w:rPr>
                <w:rFonts w:hint="eastAsia" w:ascii="仿宋" w:hAnsi="仿宋" w:eastAsia="仿宋" w:cs="仿宋_GB2312"/>
                <w:bCs/>
                <w:sz w:val="24"/>
              </w:rPr>
              <w:t>年之前取得等级保护测评机构推荐证书的得</w:t>
            </w:r>
            <w:r>
              <w:rPr>
                <w:rFonts w:ascii="仿宋" w:hAnsi="仿宋" w:eastAsia="仿宋" w:cs="仿宋_GB2312"/>
                <w:bCs/>
                <w:sz w:val="24"/>
              </w:rPr>
              <w:t>15</w:t>
            </w:r>
            <w:r>
              <w:rPr>
                <w:rFonts w:hint="eastAsia" w:ascii="仿宋" w:hAnsi="仿宋" w:eastAsia="仿宋" w:cs="仿宋_GB2312"/>
                <w:bCs/>
                <w:sz w:val="24"/>
              </w:rPr>
              <w:t>分，2</w:t>
            </w:r>
            <w:r>
              <w:rPr>
                <w:rFonts w:ascii="仿宋" w:hAnsi="仿宋" w:eastAsia="仿宋" w:cs="仿宋_GB2312"/>
                <w:bCs/>
                <w:sz w:val="24"/>
              </w:rPr>
              <w:t>012</w:t>
            </w:r>
            <w:r>
              <w:rPr>
                <w:rFonts w:hint="eastAsia" w:ascii="仿宋" w:hAnsi="仿宋" w:eastAsia="仿宋" w:cs="仿宋_GB2312"/>
                <w:bCs/>
                <w:sz w:val="24"/>
              </w:rPr>
              <w:t>至2</w:t>
            </w:r>
            <w:r>
              <w:rPr>
                <w:rFonts w:ascii="仿宋" w:hAnsi="仿宋" w:eastAsia="仿宋" w:cs="仿宋_GB2312"/>
                <w:bCs/>
                <w:sz w:val="24"/>
              </w:rPr>
              <w:t>016</w:t>
            </w:r>
            <w:r>
              <w:rPr>
                <w:rFonts w:hint="eastAsia" w:ascii="仿宋" w:hAnsi="仿宋" w:eastAsia="仿宋" w:cs="仿宋_GB2312"/>
                <w:bCs/>
                <w:sz w:val="24"/>
              </w:rPr>
              <w:t>年取得资质的得</w:t>
            </w:r>
            <w:r>
              <w:rPr>
                <w:rFonts w:ascii="仿宋" w:hAnsi="仿宋" w:eastAsia="仿宋" w:cs="仿宋_GB2312"/>
                <w:bCs/>
                <w:sz w:val="24"/>
              </w:rPr>
              <w:t>10</w:t>
            </w:r>
            <w:r>
              <w:rPr>
                <w:rFonts w:hint="eastAsia" w:ascii="仿宋" w:hAnsi="仿宋" w:eastAsia="仿宋" w:cs="仿宋_GB2312"/>
                <w:bCs/>
                <w:sz w:val="24"/>
              </w:rPr>
              <w:t>分，2</w:t>
            </w:r>
            <w:r>
              <w:rPr>
                <w:rFonts w:ascii="仿宋" w:hAnsi="仿宋" w:eastAsia="仿宋" w:cs="仿宋_GB2312"/>
                <w:bCs/>
                <w:sz w:val="24"/>
              </w:rPr>
              <w:t>017</w:t>
            </w:r>
            <w:r>
              <w:rPr>
                <w:rFonts w:hint="eastAsia" w:ascii="仿宋" w:hAnsi="仿宋" w:eastAsia="仿宋" w:cs="仿宋_GB2312"/>
                <w:bCs/>
                <w:sz w:val="24"/>
              </w:rPr>
              <w:t>年及之后取得资质的得</w:t>
            </w:r>
            <w:r>
              <w:rPr>
                <w:rFonts w:ascii="仿宋" w:hAnsi="仿宋" w:eastAsia="仿宋" w:cs="仿宋_GB2312"/>
                <w:bCs/>
                <w:sz w:val="24"/>
              </w:rPr>
              <w:t>5</w:t>
            </w:r>
            <w:r>
              <w:rPr>
                <w:rFonts w:hint="eastAsia" w:ascii="仿宋" w:hAnsi="仿宋" w:eastAsia="仿宋" w:cs="仿宋_GB2312"/>
                <w:bCs/>
                <w:sz w:val="24"/>
              </w:rPr>
              <w:t>分。</w:t>
            </w:r>
          </w:p>
          <w:p>
            <w:pPr>
              <w:pStyle w:val="18"/>
              <w:snapToGrid w:val="0"/>
              <w:spacing w:line="240" w:lineRule="auto"/>
              <w:ind w:firstLine="0"/>
              <w:jc w:val="left"/>
              <w:rPr>
                <w:rFonts w:ascii="仿宋" w:hAnsi="仿宋" w:eastAsia="仿宋" w:cs="仿宋_GB2312"/>
                <w:bCs/>
                <w:sz w:val="24"/>
              </w:rPr>
            </w:pPr>
            <w:r>
              <w:rPr>
                <w:rFonts w:hint="eastAsia" w:ascii="仿宋" w:hAnsi="仿宋" w:eastAsia="仿宋" w:cs="仿宋_GB2312"/>
                <w:bCs/>
                <w:sz w:val="24"/>
              </w:rPr>
              <w:t>证明材料：</w:t>
            </w:r>
          </w:p>
          <w:p>
            <w:pPr>
              <w:pStyle w:val="18"/>
              <w:snapToGrid w:val="0"/>
              <w:spacing w:line="240" w:lineRule="auto"/>
              <w:ind w:firstLine="0"/>
              <w:rPr>
                <w:rFonts w:ascii="仿宋" w:hAnsi="仿宋" w:eastAsia="仿宋" w:cs="仿宋_GB2312"/>
                <w:bCs/>
                <w:sz w:val="24"/>
              </w:rPr>
            </w:pPr>
            <w:r>
              <w:rPr>
                <w:rFonts w:hint="eastAsia" w:ascii="仿宋" w:hAnsi="仿宋" w:eastAsia="仿宋" w:cs="仿宋_GB2312"/>
                <w:bCs/>
                <w:sz w:val="24"/>
              </w:rPr>
              <w:t>提供等级保护测评机构推荐证书复印件及网络安全等级保护网（</w:t>
            </w:r>
            <w:r>
              <w:rPr>
                <w:rFonts w:ascii="仿宋" w:hAnsi="仿宋" w:eastAsia="仿宋" w:cs="仿宋_GB2312"/>
                <w:bCs/>
                <w:sz w:val="24"/>
              </w:rPr>
              <w:t>http://www.djbh.net/webdev/web/HomeWebAction.do?p=init</w:t>
            </w:r>
            <w:r>
              <w:rPr>
                <w:rFonts w:hint="eastAsia" w:ascii="仿宋" w:hAnsi="仿宋" w:eastAsia="仿宋" w:cs="仿宋_GB2312"/>
                <w:bCs/>
                <w:sz w:val="24"/>
              </w:rPr>
              <w:t>）截图证明材料并加盖供应商公章。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988" w:type="dxa"/>
            <w:vMerge w:val="continue"/>
            <w:noWrap/>
            <w:vAlign w:val="center"/>
          </w:tcPr>
          <w:p>
            <w:pPr>
              <w:snapToGrid w:val="0"/>
              <w:jc w:val="center"/>
              <w:rPr>
                <w:rFonts w:ascii="仿宋" w:hAnsi="仿宋" w:eastAsia="仿宋" w:cs="仿宋_GB2312"/>
                <w:bCs/>
                <w:sz w:val="24"/>
                <w:szCs w:val="24"/>
              </w:rPr>
            </w:pPr>
          </w:p>
        </w:tc>
        <w:tc>
          <w:tcPr>
            <w:tcW w:w="1302" w:type="dxa"/>
            <w:vMerge w:val="restart"/>
            <w:noWrap/>
            <w:vAlign w:val="center"/>
          </w:tcPr>
          <w:p>
            <w:pPr>
              <w:pStyle w:val="18"/>
              <w:snapToGrid w:val="0"/>
              <w:spacing w:line="240" w:lineRule="auto"/>
              <w:ind w:firstLine="0"/>
              <w:rPr>
                <w:rFonts w:ascii="仿宋" w:hAnsi="仿宋" w:eastAsia="仿宋" w:cs="仿宋_GB2312"/>
                <w:bCs/>
                <w:sz w:val="24"/>
              </w:rPr>
            </w:pPr>
            <w:r>
              <w:rPr>
                <w:rFonts w:hint="eastAsia" w:ascii="仿宋" w:hAnsi="仿宋" w:eastAsia="仿宋" w:cs="仿宋_GB2312"/>
                <w:bCs/>
                <w:sz w:val="24"/>
              </w:rPr>
              <w:t>技术实力</w:t>
            </w:r>
          </w:p>
          <w:p>
            <w:pPr>
              <w:pStyle w:val="18"/>
              <w:snapToGrid w:val="0"/>
              <w:spacing w:line="240" w:lineRule="auto"/>
              <w:ind w:firstLine="0"/>
              <w:rPr>
                <w:rFonts w:ascii="仿宋" w:hAnsi="仿宋" w:eastAsia="仿宋" w:cs="仿宋_GB2312"/>
                <w:bCs/>
                <w:sz w:val="24"/>
              </w:rPr>
            </w:pPr>
            <w:r>
              <w:rPr>
                <w:rFonts w:hint="eastAsia" w:ascii="仿宋" w:hAnsi="仿宋" w:eastAsia="仿宋" w:cs="仿宋_GB2312"/>
                <w:bCs/>
                <w:sz w:val="24"/>
              </w:rPr>
              <w:t>（</w:t>
            </w:r>
            <w:r>
              <w:rPr>
                <w:rFonts w:ascii="仿宋" w:hAnsi="仿宋" w:eastAsia="仿宋" w:cs="仿宋_GB2312"/>
                <w:bCs/>
                <w:sz w:val="24"/>
              </w:rPr>
              <w:t>25</w:t>
            </w:r>
            <w:r>
              <w:rPr>
                <w:rFonts w:hint="eastAsia" w:ascii="仿宋" w:hAnsi="仿宋" w:eastAsia="仿宋" w:cs="仿宋_GB2312"/>
                <w:bCs/>
                <w:sz w:val="24"/>
              </w:rPr>
              <w:t>分）</w:t>
            </w:r>
          </w:p>
        </w:tc>
        <w:tc>
          <w:tcPr>
            <w:tcW w:w="6919" w:type="dxa"/>
            <w:noWrap/>
            <w:vAlign w:val="center"/>
          </w:tcPr>
          <w:p>
            <w:pPr>
              <w:pStyle w:val="18"/>
              <w:snapToGrid w:val="0"/>
              <w:spacing w:line="240" w:lineRule="auto"/>
              <w:ind w:firstLine="0"/>
              <w:rPr>
                <w:rFonts w:ascii="仿宋" w:hAnsi="仿宋" w:eastAsia="仿宋" w:cs="仿宋_GB2312"/>
                <w:bCs/>
                <w:sz w:val="24"/>
              </w:rPr>
            </w:pPr>
            <w:r>
              <w:rPr>
                <w:rFonts w:hint="eastAsia" w:ascii="仿宋" w:hAnsi="仿宋" w:eastAsia="仿宋" w:cs="仿宋_GB2312"/>
                <w:bCs/>
                <w:sz w:val="24"/>
              </w:rPr>
              <w:t>投标企业连续三年及以上在CNAS测评能力验证结果均为“满意”的得</w:t>
            </w:r>
            <w:r>
              <w:rPr>
                <w:rFonts w:ascii="仿宋" w:hAnsi="仿宋" w:eastAsia="仿宋" w:cs="仿宋_GB2312"/>
                <w:bCs/>
                <w:sz w:val="24"/>
              </w:rPr>
              <w:t>10</w:t>
            </w:r>
            <w:r>
              <w:rPr>
                <w:rFonts w:hint="eastAsia" w:ascii="仿宋" w:hAnsi="仿宋" w:eastAsia="仿宋" w:cs="仿宋_GB2312"/>
                <w:bCs/>
                <w:sz w:val="24"/>
              </w:rPr>
              <w:t>分。</w:t>
            </w:r>
          </w:p>
          <w:p>
            <w:pPr>
              <w:pStyle w:val="18"/>
              <w:snapToGrid w:val="0"/>
              <w:spacing w:line="240" w:lineRule="auto"/>
              <w:ind w:firstLine="0"/>
              <w:jc w:val="left"/>
              <w:rPr>
                <w:rFonts w:ascii="仿宋" w:hAnsi="仿宋" w:eastAsia="仿宋" w:cs="仿宋_GB2312"/>
                <w:bCs/>
                <w:sz w:val="24"/>
              </w:rPr>
            </w:pPr>
            <w:r>
              <w:rPr>
                <w:rFonts w:hint="eastAsia" w:ascii="仿宋" w:hAnsi="仿宋" w:eastAsia="仿宋" w:cs="仿宋_GB2312"/>
                <w:bCs/>
                <w:sz w:val="24"/>
              </w:rPr>
              <w:t>证明材料：</w:t>
            </w:r>
          </w:p>
          <w:p>
            <w:pPr>
              <w:pStyle w:val="18"/>
              <w:snapToGrid w:val="0"/>
              <w:spacing w:line="240" w:lineRule="auto"/>
              <w:ind w:firstLine="0"/>
              <w:rPr>
                <w:rFonts w:ascii="仿宋" w:hAnsi="仿宋" w:eastAsia="仿宋" w:cs="仿宋_GB2312"/>
                <w:bCs/>
                <w:sz w:val="24"/>
              </w:rPr>
            </w:pPr>
            <w:r>
              <w:rPr>
                <w:rFonts w:hint="eastAsia" w:ascii="仿宋" w:hAnsi="仿宋" w:eastAsia="仿宋" w:cs="仿宋_GB2312"/>
                <w:bCs/>
                <w:sz w:val="24"/>
              </w:rPr>
              <w:t>提供中国合格评定国家认可委员会出具的能力验证计划结果证书、能力验证计划结果通知单复印件并加盖投标企业公章。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988" w:type="dxa"/>
            <w:vMerge w:val="continue"/>
            <w:noWrap/>
            <w:vAlign w:val="center"/>
          </w:tcPr>
          <w:p>
            <w:pPr>
              <w:snapToGrid w:val="0"/>
              <w:jc w:val="center"/>
              <w:rPr>
                <w:rFonts w:ascii="仿宋" w:hAnsi="仿宋" w:eastAsia="仿宋" w:cs="仿宋_GB2312"/>
                <w:bCs/>
                <w:sz w:val="24"/>
                <w:szCs w:val="24"/>
              </w:rPr>
            </w:pPr>
          </w:p>
        </w:tc>
        <w:tc>
          <w:tcPr>
            <w:tcW w:w="1302" w:type="dxa"/>
            <w:vMerge w:val="continue"/>
            <w:noWrap/>
            <w:vAlign w:val="center"/>
          </w:tcPr>
          <w:p>
            <w:pPr>
              <w:pStyle w:val="18"/>
              <w:snapToGrid w:val="0"/>
              <w:spacing w:line="240" w:lineRule="auto"/>
              <w:ind w:firstLine="0"/>
              <w:rPr>
                <w:rFonts w:ascii="仿宋" w:hAnsi="仿宋" w:eastAsia="仿宋" w:cs="仿宋_GB2312"/>
                <w:bCs/>
                <w:sz w:val="24"/>
              </w:rPr>
            </w:pPr>
          </w:p>
        </w:tc>
        <w:tc>
          <w:tcPr>
            <w:tcW w:w="6919" w:type="dxa"/>
            <w:noWrap/>
            <w:vAlign w:val="center"/>
          </w:tcPr>
          <w:p>
            <w:pPr>
              <w:pStyle w:val="18"/>
              <w:snapToGrid w:val="0"/>
              <w:spacing w:line="240" w:lineRule="auto"/>
              <w:ind w:firstLine="0"/>
              <w:rPr>
                <w:rFonts w:ascii="仿宋" w:hAnsi="仿宋" w:eastAsia="仿宋" w:cs="仿宋_GB2312"/>
                <w:bCs/>
                <w:sz w:val="24"/>
              </w:rPr>
            </w:pPr>
            <w:r>
              <w:rPr>
                <w:rFonts w:hint="eastAsia" w:ascii="仿宋" w:hAnsi="仿宋" w:eastAsia="仿宋" w:cs="仿宋_GB2312"/>
                <w:bCs/>
                <w:sz w:val="24"/>
              </w:rPr>
              <w:t>投标企业与信息安全等级保护关键技术国家工程实验室有合作的得5分；投标企业与信息安全等级保护关键技术国家工程实验室分实验室有合作的得</w:t>
            </w:r>
            <w:r>
              <w:rPr>
                <w:rFonts w:ascii="仿宋" w:hAnsi="仿宋" w:eastAsia="仿宋" w:cs="仿宋_GB2312"/>
                <w:bCs/>
                <w:sz w:val="24"/>
              </w:rPr>
              <w:t>4</w:t>
            </w:r>
            <w:r>
              <w:rPr>
                <w:rFonts w:hint="eastAsia" w:ascii="仿宋" w:hAnsi="仿宋" w:eastAsia="仿宋" w:cs="仿宋_GB2312"/>
                <w:bCs/>
                <w:sz w:val="24"/>
              </w:rPr>
              <w:t>分；没有不得分。</w:t>
            </w:r>
          </w:p>
          <w:p>
            <w:pPr>
              <w:pStyle w:val="18"/>
              <w:snapToGrid w:val="0"/>
              <w:spacing w:line="240" w:lineRule="auto"/>
              <w:ind w:firstLine="0"/>
              <w:jc w:val="left"/>
              <w:rPr>
                <w:rFonts w:ascii="仿宋" w:hAnsi="仿宋" w:eastAsia="仿宋" w:cs="仿宋_GB2312"/>
                <w:bCs/>
                <w:sz w:val="24"/>
              </w:rPr>
            </w:pPr>
            <w:r>
              <w:rPr>
                <w:rFonts w:hint="eastAsia" w:ascii="仿宋" w:hAnsi="仿宋" w:eastAsia="仿宋" w:cs="仿宋_GB2312"/>
                <w:bCs/>
                <w:sz w:val="24"/>
              </w:rPr>
              <w:t>证明材料：</w:t>
            </w:r>
          </w:p>
          <w:p>
            <w:pPr>
              <w:pStyle w:val="18"/>
              <w:snapToGrid w:val="0"/>
              <w:spacing w:line="240" w:lineRule="auto"/>
              <w:ind w:firstLine="0"/>
              <w:jc w:val="left"/>
              <w:rPr>
                <w:rFonts w:ascii="仿宋" w:hAnsi="仿宋" w:eastAsia="仿宋" w:cs="仿宋_GB2312"/>
                <w:bCs/>
                <w:sz w:val="24"/>
              </w:rPr>
            </w:pPr>
            <w:r>
              <w:rPr>
                <w:rFonts w:hint="eastAsia" w:ascii="仿宋" w:hAnsi="仿宋" w:eastAsia="仿宋" w:cs="仿宋_GB2312"/>
                <w:bCs/>
                <w:sz w:val="24"/>
              </w:rPr>
              <w:t>提供正式的合作协议复印件并加盖投标企业公章。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988" w:type="dxa"/>
            <w:vMerge w:val="continue"/>
            <w:noWrap/>
            <w:vAlign w:val="center"/>
          </w:tcPr>
          <w:p>
            <w:pPr>
              <w:snapToGrid w:val="0"/>
              <w:jc w:val="center"/>
              <w:rPr>
                <w:rFonts w:ascii="仿宋" w:hAnsi="仿宋" w:eastAsia="仿宋" w:cs="仿宋_GB2312"/>
                <w:bCs/>
                <w:sz w:val="24"/>
                <w:szCs w:val="24"/>
              </w:rPr>
            </w:pPr>
          </w:p>
        </w:tc>
        <w:tc>
          <w:tcPr>
            <w:tcW w:w="1302" w:type="dxa"/>
            <w:vMerge w:val="continue"/>
            <w:noWrap/>
            <w:vAlign w:val="center"/>
          </w:tcPr>
          <w:p>
            <w:pPr>
              <w:pStyle w:val="18"/>
              <w:snapToGrid w:val="0"/>
              <w:spacing w:line="240" w:lineRule="auto"/>
              <w:ind w:firstLine="0"/>
              <w:rPr>
                <w:rFonts w:ascii="仿宋" w:hAnsi="仿宋" w:eastAsia="仿宋" w:cs="仿宋_GB2312"/>
                <w:bCs/>
                <w:sz w:val="24"/>
              </w:rPr>
            </w:pPr>
          </w:p>
        </w:tc>
        <w:tc>
          <w:tcPr>
            <w:tcW w:w="6919" w:type="dxa"/>
            <w:noWrap/>
            <w:vAlign w:val="center"/>
          </w:tcPr>
          <w:p>
            <w:pPr>
              <w:pStyle w:val="18"/>
              <w:snapToGrid w:val="0"/>
              <w:spacing w:line="240" w:lineRule="auto"/>
              <w:ind w:firstLine="0"/>
              <w:rPr>
                <w:rFonts w:ascii="仿宋" w:hAnsi="仿宋" w:eastAsia="仿宋" w:cs="仿宋_GB2312"/>
                <w:bCs/>
                <w:sz w:val="24"/>
              </w:rPr>
            </w:pPr>
            <w:r>
              <w:rPr>
                <w:rFonts w:hint="eastAsia" w:ascii="仿宋" w:hAnsi="仿宋" w:eastAsia="仿宋" w:cs="仿宋_GB2312"/>
                <w:bCs/>
                <w:sz w:val="24"/>
              </w:rPr>
              <w:t>投标企业有3名及以上高级测评师的得5分，投标企业测评师总人数大于2</w:t>
            </w:r>
            <w:r>
              <w:rPr>
                <w:rFonts w:ascii="仿宋" w:hAnsi="仿宋" w:eastAsia="仿宋" w:cs="仿宋_GB2312"/>
                <w:bCs/>
                <w:sz w:val="24"/>
              </w:rPr>
              <w:t>0</w:t>
            </w:r>
            <w:r>
              <w:rPr>
                <w:rFonts w:hint="eastAsia" w:ascii="仿宋" w:hAnsi="仿宋" w:eastAsia="仿宋" w:cs="仿宋_GB2312"/>
                <w:bCs/>
                <w:sz w:val="24"/>
              </w:rPr>
              <w:t>人的得5分。</w:t>
            </w:r>
          </w:p>
          <w:p>
            <w:pPr>
              <w:pStyle w:val="18"/>
              <w:snapToGrid w:val="0"/>
              <w:spacing w:line="240" w:lineRule="auto"/>
              <w:ind w:firstLine="0"/>
              <w:jc w:val="left"/>
              <w:rPr>
                <w:rFonts w:ascii="仿宋" w:hAnsi="仿宋" w:eastAsia="仿宋" w:cs="仿宋_GB2312"/>
                <w:bCs/>
                <w:sz w:val="24"/>
              </w:rPr>
            </w:pPr>
            <w:r>
              <w:rPr>
                <w:rFonts w:hint="eastAsia" w:ascii="仿宋" w:hAnsi="仿宋" w:eastAsia="仿宋" w:cs="仿宋_GB2312"/>
                <w:bCs/>
                <w:sz w:val="24"/>
              </w:rPr>
              <w:t>证明材料：</w:t>
            </w:r>
          </w:p>
          <w:p>
            <w:pPr>
              <w:pStyle w:val="18"/>
              <w:snapToGrid w:val="0"/>
              <w:spacing w:line="240" w:lineRule="auto"/>
              <w:ind w:firstLine="0"/>
              <w:jc w:val="left"/>
              <w:rPr>
                <w:rFonts w:ascii="仿宋" w:hAnsi="仿宋" w:eastAsia="仿宋" w:cs="仿宋_GB2312"/>
                <w:bCs/>
                <w:sz w:val="24"/>
              </w:rPr>
            </w:pPr>
            <w:r>
              <w:rPr>
                <w:rFonts w:hint="eastAsia" w:ascii="仿宋" w:hAnsi="仿宋" w:eastAsia="仿宋" w:cs="仿宋_GB2312"/>
                <w:bCs/>
                <w:sz w:val="24"/>
              </w:rPr>
              <w:t>提供网络安全等级保护网（</w:t>
            </w:r>
            <w:r>
              <w:rPr>
                <w:rFonts w:ascii="仿宋" w:hAnsi="仿宋" w:eastAsia="仿宋" w:cs="仿宋_GB2312"/>
                <w:bCs/>
                <w:sz w:val="24"/>
              </w:rPr>
              <w:t>http://www.djbh.net/webdev/web/HomeWebAction.do?p=init</w:t>
            </w:r>
            <w:r>
              <w:rPr>
                <w:rFonts w:hint="eastAsia" w:ascii="仿宋" w:hAnsi="仿宋" w:eastAsia="仿宋" w:cs="仿宋_GB2312"/>
                <w:bCs/>
                <w:sz w:val="24"/>
              </w:rPr>
              <w:t>）截图证明材料并加盖供应商公章。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atLeast"/>
          <w:jc w:val="center"/>
        </w:trPr>
        <w:tc>
          <w:tcPr>
            <w:tcW w:w="988" w:type="dxa"/>
            <w:vMerge w:val="continue"/>
            <w:noWrap/>
            <w:vAlign w:val="center"/>
          </w:tcPr>
          <w:p>
            <w:pPr>
              <w:snapToGrid w:val="0"/>
              <w:jc w:val="center"/>
              <w:rPr>
                <w:rFonts w:ascii="仿宋" w:hAnsi="仿宋" w:eastAsia="仿宋" w:cs="仿宋_GB2312"/>
                <w:bCs/>
                <w:sz w:val="24"/>
                <w:szCs w:val="24"/>
              </w:rPr>
            </w:pPr>
          </w:p>
        </w:tc>
        <w:tc>
          <w:tcPr>
            <w:tcW w:w="1302" w:type="dxa"/>
            <w:noWrap/>
            <w:vAlign w:val="center"/>
          </w:tcPr>
          <w:p>
            <w:pPr>
              <w:snapToGrid w:val="0"/>
              <w:rPr>
                <w:rFonts w:ascii="仿宋" w:hAnsi="仿宋" w:eastAsia="仿宋" w:cs="仿宋_GB2312"/>
                <w:bCs/>
                <w:sz w:val="24"/>
                <w:szCs w:val="24"/>
              </w:rPr>
            </w:pPr>
            <w:r>
              <w:rPr>
                <w:rFonts w:hint="eastAsia" w:ascii="仿宋" w:hAnsi="仿宋" w:eastAsia="仿宋" w:cs="仿宋_GB2312"/>
                <w:bCs/>
                <w:sz w:val="24"/>
                <w:szCs w:val="24"/>
              </w:rPr>
              <w:t>案例（</w:t>
            </w:r>
            <w:r>
              <w:rPr>
                <w:rFonts w:ascii="仿宋" w:hAnsi="仿宋" w:eastAsia="仿宋" w:cs="仿宋_GB2312"/>
                <w:bCs/>
                <w:sz w:val="24"/>
                <w:szCs w:val="24"/>
              </w:rPr>
              <w:t>15</w:t>
            </w:r>
            <w:r>
              <w:rPr>
                <w:rFonts w:hint="eastAsia" w:ascii="仿宋" w:hAnsi="仿宋" w:eastAsia="仿宋" w:cs="仿宋_GB2312"/>
                <w:bCs/>
                <w:sz w:val="24"/>
                <w:szCs w:val="24"/>
              </w:rPr>
              <w:t>分）</w:t>
            </w:r>
          </w:p>
        </w:tc>
        <w:tc>
          <w:tcPr>
            <w:tcW w:w="6919" w:type="dxa"/>
            <w:noWrap/>
            <w:vAlign w:val="center"/>
          </w:tcPr>
          <w:p>
            <w:pPr>
              <w:pStyle w:val="18"/>
              <w:snapToGrid w:val="0"/>
              <w:spacing w:line="240" w:lineRule="auto"/>
              <w:ind w:firstLine="0"/>
              <w:rPr>
                <w:rFonts w:ascii="仿宋" w:hAnsi="仿宋" w:eastAsia="仿宋" w:cs="仿宋_GB2312"/>
                <w:bCs/>
                <w:sz w:val="24"/>
              </w:rPr>
            </w:pPr>
            <w:r>
              <w:rPr>
                <w:rFonts w:hint="eastAsia" w:ascii="仿宋" w:hAnsi="仿宋" w:eastAsia="仿宋" w:cs="仿宋_GB2312"/>
                <w:bCs/>
                <w:sz w:val="24"/>
              </w:rPr>
              <w:t>投标企业提供</w:t>
            </w:r>
            <w:r>
              <w:rPr>
                <w:rFonts w:ascii="仿宋" w:hAnsi="仿宋" w:eastAsia="仿宋" w:cs="仿宋_GB2312"/>
                <w:bCs/>
                <w:sz w:val="24"/>
              </w:rPr>
              <w:t>2020</w:t>
            </w:r>
            <w:r>
              <w:rPr>
                <w:rFonts w:hint="eastAsia" w:ascii="仿宋" w:hAnsi="仿宋" w:eastAsia="仿宋" w:cs="仿宋_GB2312"/>
                <w:bCs/>
                <w:sz w:val="24"/>
              </w:rPr>
              <w:t>年以来测评案例：每个案例得</w:t>
            </w:r>
            <w:r>
              <w:rPr>
                <w:rFonts w:ascii="仿宋" w:hAnsi="仿宋" w:eastAsia="仿宋" w:cs="仿宋_GB2312"/>
                <w:bCs/>
                <w:sz w:val="24"/>
              </w:rPr>
              <w:t>1</w:t>
            </w:r>
            <w:r>
              <w:rPr>
                <w:rFonts w:hint="eastAsia" w:ascii="仿宋" w:hAnsi="仿宋" w:eastAsia="仿宋" w:cs="仿宋_GB2312"/>
                <w:bCs/>
                <w:sz w:val="24"/>
              </w:rPr>
              <w:t>分，最高得</w:t>
            </w:r>
            <w:r>
              <w:rPr>
                <w:rFonts w:ascii="仿宋" w:hAnsi="仿宋" w:eastAsia="仿宋" w:cs="仿宋_GB2312"/>
                <w:bCs/>
                <w:sz w:val="24"/>
              </w:rPr>
              <w:t>15</w:t>
            </w:r>
            <w:r>
              <w:rPr>
                <w:rFonts w:hint="eastAsia" w:ascii="仿宋" w:hAnsi="仿宋" w:eastAsia="仿宋" w:cs="仿宋_GB2312"/>
                <w:bCs/>
                <w:sz w:val="24"/>
              </w:rPr>
              <w:t>分。</w:t>
            </w:r>
          </w:p>
          <w:p>
            <w:pPr>
              <w:pStyle w:val="18"/>
              <w:snapToGrid w:val="0"/>
              <w:spacing w:line="240" w:lineRule="auto"/>
              <w:ind w:firstLine="0"/>
              <w:jc w:val="left"/>
              <w:rPr>
                <w:rFonts w:ascii="仿宋" w:hAnsi="仿宋" w:eastAsia="仿宋" w:cs="仿宋_GB2312"/>
                <w:bCs/>
                <w:sz w:val="24"/>
              </w:rPr>
            </w:pPr>
            <w:r>
              <w:rPr>
                <w:rFonts w:hint="eastAsia" w:ascii="仿宋" w:hAnsi="仿宋" w:eastAsia="仿宋" w:cs="仿宋_GB2312"/>
                <w:bCs/>
                <w:sz w:val="24"/>
              </w:rPr>
              <w:t>证明材料：提供合同复印件并加盖投标企业公章。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988" w:type="dxa"/>
            <w:vMerge w:val="continue"/>
            <w:noWrap/>
            <w:vAlign w:val="center"/>
          </w:tcPr>
          <w:p>
            <w:pPr>
              <w:snapToGrid w:val="0"/>
              <w:jc w:val="center"/>
              <w:rPr>
                <w:rFonts w:ascii="仿宋" w:hAnsi="仿宋" w:eastAsia="仿宋" w:cs="仿宋_GB2312"/>
                <w:bCs/>
                <w:sz w:val="24"/>
                <w:szCs w:val="24"/>
              </w:rPr>
            </w:pPr>
          </w:p>
        </w:tc>
        <w:tc>
          <w:tcPr>
            <w:tcW w:w="1302" w:type="dxa"/>
            <w:vMerge w:val="restart"/>
            <w:noWrap/>
            <w:vAlign w:val="center"/>
          </w:tcPr>
          <w:p>
            <w:pPr>
              <w:snapToGrid w:val="0"/>
              <w:rPr>
                <w:rFonts w:ascii="仿宋" w:hAnsi="仿宋" w:eastAsia="仿宋" w:cs="仿宋_GB2312"/>
                <w:bCs/>
                <w:sz w:val="24"/>
                <w:szCs w:val="24"/>
              </w:rPr>
            </w:pPr>
            <w:r>
              <w:rPr>
                <w:rFonts w:hint="eastAsia" w:ascii="仿宋" w:hAnsi="仿宋" w:eastAsia="仿宋" w:cs="仿宋_GB2312"/>
                <w:bCs/>
                <w:sz w:val="24"/>
                <w:szCs w:val="24"/>
              </w:rPr>
              <w:t>服务能力</w:t>
            </w:r>
          </w:p>
          <w:p>
            <w:pPr>
              <w:snapToGrid w:val="0"/>
              <w:rPr>
                <w:rFonts w:ascii="仿宋" w:hAnsi="仿宋" w:eastAsia="仿宋" w:cs="仿宋_GB2312"/>
                <w:bCs/>
                <w:sz w:val="24"/>
                <w:szCs w:val="24"/>
              </w:rPr>
            </w:pPr>
            <w:r>
              <w:rPr>
                <w:rFonts w:hint="eastAsia" w:ascii="仿宋" w:hAnsi="仿宋" w:eastAsia="仿宋" w:cs="仿宋_GB2312"/>
                <w:bCs/>
                <w:sz w:val="24"/>
                <w:szCs w:val="24"/>
              </w:rPr>
              <w:t>（</w:t>
            </w:r>
            <w:r>
              <w:rPr>
                <w:rFonts w:ascii="仿宋" w:hAnsi="仿宋" w:eastAsia="仿宋" w:cs="仿宋_GB2312"/>
                <w:bCs/>
                <w:sz w:val="24"/>
                <w:szCs w:val="24"/>
              </w:rPr>
              <w:t>15</w:t>
            </w:r>
            <w:r>
              <w:rPr>
                <w:rFonts w:hint="eastAsia" w:ascii="仿宋" w:hAnsi="仿宋" w:eastAsia="仿宋" w:cs="仿宋_GB2312"/>
                <w:bCs/>
                <w:sz w:val="24"/>
                <w:szCs w:val="24"/>
              </w:rPr>
              <w:t>分）</w:t>
            </w:r>
          </w:p>
        </w:tc>
        <w:tc>
          <w:tcPr>
            <w:tcW w:w="6919" w:type="dxa"/>
            <w:noWrap/>
            <w:vAlign w:val="center"/>
          </w:tcPr>
          <w:p>
            <w:pPr>
              <w:pStyle w:val="18"/>
              <w:snapToGrid w:val="0"/>
              <w:spacing w:line="240" w:lineRule="auto"/>
              <w:ind w:firstLine="0"/>
              <w:rPr>
                <w:rFonts w:ascii="仿宋" w:hAnsi="仿宋" w:eastAsia="仿宋" w:cs="仿宋_GB2312"/>
                <w:bCs/>
                <w:sz w:val="24"/>
              </w:rPr>
            </w:pPr>
            <w:r>
              <w:rPr>
                <w:rFonts w:hint="eastAsia" w:ascii="仿宋" w:hAnsi="仿宋" w:eastAsia="仿宋" w:cs="仿宋_GB2312"/>
                <w:bCs/>
                <w:sz w:val="24"/>
              </w:rPr>
              <w:t>提供本项目网络安全等级保护测评方案，方案良好的得</w:t>
            </w:r>
            <w:r>
              <w:rPr>
                <w:rFonts w:ascii="仿宋" w:hAnsi="仿宋" w:eastAsia="仿宋" w:cs="仿宋_GB2312"/>
                <w:bCs/>
                <w:sz w:val="24"/>
              </w:rPr>
              <w:t>7-9</w:t>
            </w:r>
            <w:r>
              <w:rPr>
                <w:rFonts w:hint="eastAsia" w:ascii="仿宋" w:hAnsi="仿宋" w:eastAsia="仿宋" w:cs="仿宋_GB2312"/>
                <w:bCs/>
                <w:sz w:val="24"/>
              </w:rPr>
              <w:t>分，方案一般的得</w:t>
            </w:r>
            <w:r>
              <w:rPr>
                <w:rFonts w:ascii="仿宋" w:hAnsi="仿宋" w:eastAsia="仿宋" w:cs="仿宋_GB2312"/>
                <w:bCs/>
                <w:sz w:val="24"/>
              </w:rPr>
              <w:t>4</w:t>
            </w:r>
            <w:r>
              <w:rPr>
                <w:rFonts w:hint="eastAsia" w:ascii="仿宋" w:hAnsi="仿宋" w:eastAsia="仿宋" w:cs="仿宋_GB2312"/>
                <w:bCs/>
                <w:sz w:val="24"/>
              </w:rPr>
              <w:t>-</w:t>
            </w:r>
            <w:r>
              <w:rPr>
                <w:rFonts w:ascii="仿宋" w:hAnsi="仿宋" w:eastAsia="仿宋" w:cs="仿宋_GB2312"/>
                <w:bCs/>
                <w:sz w:val="24"/>
              </w:rPr>
              <w:t>6</w:t>
            </w:r>
            <w:r>
              <w:rPr>
                <w:rFonts w:hint="eastAsia" w:ascii="仿宋" w:hAnsi="仿宋" w:eastAsia="仿宋" w:cs="仿宋_GB2312"/>
                <w:bCs/>
                <w:sz w:val="24"/>
              </w:rPr>
              <w:t>分，方案差或者无方案的得0</w:t>
            </w:r>
            <w:r>
              <w:rPr>
                <w:rFonts w:ascii="仿宋" w:hAnsi="仿宋" w:eastAsia="仿宋" w:cs="仿宋_GB2312"/>
                <w:bCs/>
                <w:sz w:val="24"/>
              </w:rPr>
              <w:t>-3</w:t>
            </w:r>
            <w:r>
              <w:rPr>
                <w:rFonts w:hint="eastAsia" w:ascii="仿宋" w:hAnsi="仿宋" w:eastAsia="仿宋" w:cs="仿宋_GB2312"/>
                <w:bCs/>
                <w:sz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7" w:hRule="atLeast"/>
          <w:jc w:val="center"/>
        </w:trPr>
        <w:tc>
          <w:tcPr>
            <w:tcW w:w="988" w:type="dxa"/>
            <w:vMerge w:val="continue"/>
            <w:noWrap/>
            <w:vAlign w:val="center"/>
          </w:tcPr>
          <w:p>
            <w:pPr>
              <w:snapToGrid w:val="0"/>
              <w:jc w:val="center"/>
              <w:rPr>
                <w:rFonts w:ascii="仿宋" w:hAnsi="仿宋" w:eastAsia="仿宋" w:cs="仿宋_GB2312"/>
                <w:bCs/>
                <w:sz w:val="24"/>
                <w:szCs w:val="24"/>
              </w:rPr>
            </w:pPr>
          </w:p>
        </w:tc>
        <w:tc>
          <w:tcPr>
            <w:tcW w:w="1302" w:type="dxa"/>
            <w:vMerge w:val="continue"/>
            <w:noWrap/>
            <w:vAlign w:val="center"/>
          </w:tcPr>
          <w:p>
            <w:pPr>
              <w:snapToGrid w:val="0"/>
              <w:rPr>
                <w:rFonts w:ascii="仿宋" w:hAnsi="仿宋" w:eastAsia="仿宋" w:cs="仿宋_GB2312"/>
                <w:bCs/>
                <w:sz w:val="24"/>
                <w:szCs w:val="24"/>
              </w:rPr>
            </w:pPr>
          </w:p>
        </w:tc>
        <w:tc>
          <w:tcPr>
            <w:tcW w:w="6919" w:type="dxa"/>
            <w:noWrap/>
            <w:vAlign w:val="center"/>
          </w:tcPr>
          <w:p>
            <w:pPr>
              <w:pStyle w:val="18"/>
              <w:snapToGrid w:val="0"/>
              <w:spacing w:line="240" w:lineRule="auto"/>
              <w:ind w:firstLine="0"/>
              <w:rPr>
                <w:rFonts w:ascii="仿宋" w:hAnsi="仿宋" w:eastAsia="仿宋" w:cs="仿宋_GB2312"/>
                <w:bCs/>
                <w:sz w:val="24"/>
              </w:rPr>
            </w:pPr>
            <w:r>
              <w:rPr>
                <w:rFonts w:hint="eastAsia" w:ascii="仿宋" w:hAnsi="仿宋" w:eastAsia="仿宋" w:cs="仿宋_GB2312"/>
                <w:bCs/>
                <w:sz w:val="24"/>
              </w:rPr>
              <w:t>安全事件应急响应能力：我单位承载业务系统极为重要，不容有失，一旦发生网络安全事件，必须得到及时处理，投标企业必须提供网络安全事件应急响应服务，</w:t>
            </w:r>
            <w:r>
              <w:rPr>
                <w:rFonts w:ascii="仿宋" w:hAnsi="仿宋" w:eastAsia="仿宋" w:cs="仿宋_GB2312"/>
                <w:bCs/>
                <w:sz w:val="24"/>
              </w:rPr>
              <w:t>2</w:t>
            </w:r>
            <w:r>
              <w:rPr>
                <w:rFonts w:hint="eastAsia" w:ascii="仿宋" w:hAnsi="仿宋" w:eastAsia="仿宋" w:cs="仿宋_GB2312"/>
                <w:bCs/>
                <w:sz w:val="24"/>
              </w:rPr>
              <w:t>小时内到场响应且响应时间最快的得</w:t>
            </w:r>
            <w:r>
              <w:rPr>
                <w:rFonts w:ascii="仿宋" w:hAnsi="仿宋" w:eastAsia="仿宋" w:cs="仿宋_GB2312"/>
                <w:bCs/>
                <w:sz w:val="24"/>
              </w:rPr>
              <w:t>6</w:t>
            </w:r>
            <w:r>
              <w:rPr>
                <w:rFonts w:hint="eastAsia" w:ascii="仿宋" w:hAnsi="仿宋" w:eastAsia="仿宋" w:cs="仿宋_GB2312"/>
                <w:bCs/>
                <w:sz w:val="24"/>
              </w:rPr>
              <w:t>分，其次得</w:t>
            </w:r>
            <w:r>
              <w:rPr>
                <w:rFonts w:ascii="仿宋" w:hAnsi="仿宋" w:eastAsia="仿宋" w:cs="仿宋_GB2312"/>
                <w:bCs/>
                <w:sz w:val="24"/>
              </w:rPr>
              <w:t>3</w:t>
            </w:r>
            <w:r>
              <w:rPr>
                <w:rFonts w:hint="eastAsia" w:ascii="仿宋" w:hAnsi="仿宋" w:eastAsia="仿宋" w:cs="仿宋_GB2312"/>
                <w:bCs/>
                <w:sz w:val="24"/>
              </w:rPr>
              <w:t>分，到场响应时间超过</w:t>
            </w:r>
            <w:r>
              <w:rPr>
                <w:rFonts w:ascii="仿宋" w:hAnsi="仿宋" w:eastAsia="仿宋" w:cs="仿宋_GB2312"/>
                <w:bCs/>
                <w:sz w:val="24"/>
              </w:rPr>
              <w:t>3</w:t>
            </w:r>
            <w:r>
              <w:rPr>
                <w:rFonts w:hint="eastAsia" w:ascii="仿宋" w:hAnsi="仿宋" w:eastAsia="仿宋" w:cs="仿宋_GB2312"/>
                <w:bCs/>
                <w:sz w:val="24"/>
              </w:rPr>
              <w:t>小时不得分。</w:t>
            </w:r>
          </w:p>
          <w:p>
            <w:pPr>
              <w:pStyle w:val="18"/>
              <w:snapToGrid w:val="0"/>
              <w:spacing w:line="240" w:lineRule="auto"/>
              <w:ind w:firstLine="0"/>
              <w:jc w:val="left"/>
              <w:rPr>
                <w:rFonts w:ascii="仿宋" w:hAnsi="仿宋" w:eastAsia="仿宋" w:cs="仿宋_GB2312"/>
                <w:bCs/>
                <w:sz w:val="24"/>
              </w:rPr>
            </w:pPr>
            <w:r>
              <w:rPr>
                <w:rFonts w:hint="eastAsia" w:ascii="仿宋" w:hAnsi="仿宋" w:eastAsia="仿宋" w:cs="仿宋_GB2312"/>
                <w:bCs/>
                <w:sz w:val="24"/>
              </w:rPr>
              <w:t>证明材料：</w:t>
            </w:r>
          </w:p>
          <w:p>
            <w:pPr>
              <w:pStyle w:val="18"/>
              <w:snapToGrid w:val="0"/>
              <w:spacing w:line="240" w:lineRule="auto"/>
              <w:ind w:firstLine="0"/>
              <w:rPr>
                <w:rFonts w:ascii="仿宋" w:hAnsi="仿宋" w:eastAsia="仿宋" w:cs="仿宋_GB2312"/>
                <w:bCs/>
                <w:sz w:val="24"/>
              </w:rPr>
            </w:pPr>
            <w:r>
              <w:rPr>
                <w:rFonts w:hint="eastAsia" w:ascii="仿宋" w:hAnsi="仿宋" w:eastAsia="仿宋" w:cs="仿宋_GB2312"/>
                <w:bCs/>
                <w:sz w:val="24"/>
              </w:rPr>
              <w:t>（1）安全事件应急响应服务时间以投标企业注册地址至我单位主流导航地图截图为准。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0" w:hRule="atLeast"/>
          <w:jc w:val="center"/>
        </w:trPr>
        <w:tc>
          <w:tcPr>
            <w:tcW w:w="988" w:type="dxa"/>
            <w:noWrap/>
            <w:vAlign w:val="center"/>
          </w:tcPr>
          <w:p>
            <w:pPr>
              <w:snapToGrid w:val="0"/>
              <w:jc w:val="center"/>
              <w:rPr>
                <w:rFonts w:ascii="仿宋" w:hAnsi="仿宋" w:eastAsia="仿宋" w:cs="仿宋_GB2312"/>
                <w:bCs/>
                <w:sz w:val="24"/>
                <w:szCs w:val="24"/>
              </w:rPr>
            </w:pPr>
            <w:r>
              <w:rPr>
                <w:rFonts w:hint="eastAsia" w:ascii="仿宋" w:hAnsi="仿宋" w:eastAsia="仿宋" w:cs="仿宋_GB2312"/>
                <w:bCs/>
                <w:sz w:val="24"/>
                <w:szCs w:val="24"/>
              </w:rPr>
              <w:t>价格标（</w:t>
            </w:r>
            <w:r>
              <w:rPr>
                <w:rFonts w:ascii="仿宋" w:hAnsi="仿宋" w:eastAsia="仿宋" w:cs="仿宋_GB2312"/>
                <w:bCs/>
                <w:sz w:val="24"/>
                <w:szCs w:val="24"/>
              </w:rPr>
              <w:t>30</w:t>
            </w:r>
            <w:r>
              <w:rPr>
                <w:rFonts w:hint="eastAsia" w:ascii="仿宋" w:hAnsi="仿宋" w:eastAsia="仿宋" w:cs="仿宋_GB2312"/>
                <w:bCs/>
                <w:sz w:val="24"/>
                <w:szCs w:val="24"/>
              </w:rPr>
              <w:t>分）</w:t>
            </w:r>
          </w:p>
        </w:tc>
        <w:tc>
          <w:tcPr>
            <w:tcW w:w="1302" w:type="dxa"/>
            <w:noWrap/>
            <w:vAlign w:val="center"/>
          </w:tcPr>
          <w:p>
            <w:pPr>
              <w:snapToGrid w:val="0"/>
              <w:rPr>
                <w:rFonts w:ascii="仿宋" w:hAnsi="仿宋" w:eastAsia="仿宋" w:cs="仿宋_GB2312"/>
                <w:bCs/>
                <w:sz w:val="24"/>
                <w:szCs w:val="24"/>
              </w:rPr>
            </w:pPr>
            <w:r>
              <w:rPr>
                <w:rFonts w:hint="eastAsia" w:ascii="仿宋" w:hAnsi="仿宋" w:eastAsia="仿宋" w:cs="仿宋_GB2312"/>
                <w:bCs/>
                <w:sz w:val="24"/>
                <w:szCs w:val="24"/>
              </w:rPr>
              <w:t>投标响应基准价</w:t>
            </w:r>
          </w:p>
        </w:tc>
        <w:tc>
          <w:tcPr>
            <w:tcW w:w="6919" w:type="dxa"/>
            <w:noWrap/>
            <w:vAlign w:val="center"/>
          </w:tcPr>
          <w:p>
            <w:pPr>
              <w:snapToGrid w:val="0"/>
              <w:rPr>
                <w:rFonts w:ascii="仿宋" w:hAnsi="仿宋" w:eastAsia="仿宋" w:cs="仿宋_GB2312"/>
                <w:bCs/>
                <w:sz w:val="24"/>
                <w:szCs w:val="24"/>
              </w:rPr>
            </w:pPr>
            <w:r>
              <w:rPr>
                <w:rFonts w:hint="eastAsia" w:ascii="仿宋" w:hAnsi="仿宋" w:eastAsia="仿宋" w:cs="仿宋_GB2312"/>
                <w:bCs/>
                <w:sz w:val="24"/>
                <w:szCs w:val="24"/>
              </w:rPr>
              <w:t>满足招标文件要求且报价最低的投标响应报价为投标响应基准价，其价格分为</w:t>
            </w:r>
            <w:r>
              <w:rPr>
                <w:rFonts w:ascii="仿宋" w:hAnsi="仿宋" w:eastAsia="仿宋" w:cs="仿宋_GB2312"/>
                <w:bCs/>
                <w:sz w:val="24"/>
                <w:szCs w:val="24"/>
              </w:rPr>
              <w:t>30</w:t>
            </w:r>
            <w:r>
              <w:rPr>
                <w:rFonts w:hint="eastAsia" w:ascii="仿宋" w:hAnsi="仿宋" w:eastAsia="仿宋" w:cs="仿宋_GB2312"/>
                <w:bCs/>
                <w:sz w:val="24"/>
                <w:szCs w:val="24"/>
              </w:rPr>
              <w:t>分，按下列公式计算：</w:t>
            </w:r>
          </w:p>
          <w:p>
            <w:pPr>
              <w:snapToGrid w:val="0"/>
              <w:jc w:val="left"/>
              <w:rPr>
                <w:rFonts w:ascii="仿宋" w:hAnsi="仿宋" w:eastAsia="仿宋" w:cs="仿宋_GB2312"/>
                <w:bCs/>
                <w:sz w:val="24"/>
                <w:szCs w:val="24"/>
              </w:rPr>
            </w:pPr>
            <w:r>
              <w:rPr>
                <w:rFonts w:hint="eastAsia" w:ascii="仿宋" w:hAnsi="仿宋" w:eastAsia="仿宋" w:cs="仿宋_GB2312"/>
                <w:bCs/>
                <w:sz w:val="24"/>
                <w:szCs w:val="24"/>
              </w:rPr>
              <w:t>投标响应报价得分=(投标响应基准价／投标响应报价)×报价权值×100</w:t>
            </w:r>
          </w:p>
        </w:tc>
      </w:tr>
    </w:tbl>
    <w:p>
      <w:pPr>
        <w:snapToGrid w:val="0"/>
        <w:spacing w:before="156" w:beforeLines="50"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项目评审过程中，不得去掉最后报价中的最高报价和最低报价。</w:t>
      </w:r>
    </w:p>
    <w:p>
      <w:pPr>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评标委员会认为供应商的报价明显低于其他通过符合性审查供应商的报价，有可能影响产品质量或者不能诚信履约的，应当要求其在评标现场合理的时间内提供书面说明，必要时提交相关证明材料；供应商不能证明其报价合理性的，评标委员会应当将其作为无效投标处理。</w:t>
      </w:r>
    </w:p>
    <w:p>
      <w:pPr>
        <w:widowControl/>
        <w:jc w:val="left"/>
        <w:rPr>
          <w:rFonts w:ascii="仿宋" w:hAnsi="仿宋" w:eastAsia="仿宋" w:cs="仿宋"/>
          <w:sz w:val="24"/>
          <w:szCs w:val="24"/>
        </w:rPr>
      </w:pPr>
      <w:r>
        <w:rPr>
          <w:rFonts w:ascii="仿宋" w:hAnsi="仿宋" w:eastAsia="仿宋" w:cs="仿宋"/>
          <w:sz w:val="24"/>
          <w:szCs w:val="24"/>
        </w:rPr>
        <w:br w:type="page"/>
      </w:r>
    </w:p>
    <w:p>
      <w:pPr>
        <w:keepNext/>
        <w:keepLines/>
        <w:spacing w:before="240" w:after="240" w:line="360" w:lineRule="auto"/>
        <w:jc w:val="center"/>
        <w:outlineLvl w:val="0"/>
        <w:rPr>
          <w:rFonts w:ascii="仿宋" w:hAnsi="仿宋" w:eastAsia="仿宋" w:cs="仿宋"/>
          <w:b/>
          <w:bCs/>
          <w:kern w:val="44"/>
          <w:sz w:val="44"/>
          <w:szCs w:val="44"/>
        </w:rPr>
      </w:pPr>
      <w:bookmarkStart w:id="7" w:name="_Toc71645866"/>
      <w:bookmarkStart w:id="8" w:name="_Toc21508373"/>
      <w:r>
        <w:rPr>
          <w:rFonts w:hint="eastAsia" w:ascii="仿宋" w:hAnsi="仿宋" w:eastAsia="仿宋" w:cs="仿宋"/>
          <w:b/>
          <w:bCs/>
          <w:kern w:val="44"/>
          <w:sz w:val="44"/>
          <w:szCs w:val="44"/>
        </w:rPr>
        <w:t>第五章投标文件格式</w:t>
      </w:r>
      <w:bookmarkEnd w:id="7"/>
      <w:bookmarkEnd w:id="8"/>
    </w:p>
    <w:p>
      <w:pPr>
        <w:spacing w:before="156" w:beforeLines="50" w:after="156" w:afterLines="50" w:line="360" w:lineRule="auto"/>
        <w:rPr>
          <w:rFonts w:ascii="仿宋" w:hAnsi="仿宋" w:eastAsia="仿宋" w:cs="仿宋"/>
          <w:b/>
          <w:sz w:val="24"/>
          <w:szCs w:val="24"/>
        </w:rPr>
      </w:pPr>
      <w:r>
        <w:rPr>
          <w:rFonts w:hint="eastAsia" w:ascii="仿宋" w:hAnsi="仿宋" w:eastAsia="仿宋" w:cs="仿宋"/>
          <w:b/>
          <w:sz w:val="24"/>
          <w:szCs w:val="24"/>
        </w:rPr>
        <w:t>一、法人代表委托书原件及被授权人身份证复印件</w:t>
      </w:r>
    </w:p>
    <w:p>
      <w:pPr>
        <w:spacing w:line="360" w:lineRule="auto"/>
        <w:rPr>
          <w:rFonts w:ascii="仿宋" w:hAnsi="仿宋" w:eastAsia="仿宋" w:cs="仿宋"/>
          <w:color w:val="FF0000"/>
          <w:sz w:val="24"/>
          <w:szCs w:val="24"/>
        </w:rPr>
      </w:pPr>
      <w:r>
        <w:rPr>
          <w:rFonts w:hint="eastAsia" w:ascii="仿宋" w:hAnsi="仿宋" w:eastAsia="仿宋" w:cs="仿宋"/>
          <w:color w:val="000000"/>
          <w:sz w:val="24"/>
          <w:szCs w:val="24"/>
        </w:rPr>
        <w:t>南通市市域治理现代化指挥中心：</w:t>
      </w:r>
    </w:p>
    <w:p>
      <w:pPr>
        <w:spacing w:line="360" w:lineRule="auto"/>
        <w:ind w:firstLine="480" w:firstLineChars="200"/>
        <w:rPr>
          <w:rFonts w:ascii="仿宋" w:hAnsi="仿宋" w:eastAsia="仿宋" w:cs="仿宋"/>
          <w:sz w:val="24"/>
          <w:szCs w:val="24"/>
          <w:lang w:val="zh-CN"/>
        </w:rPr>
      </w:pPr>
      <w:r>
        <w:rPr>
          <w:rFonts w:hint="eastAsia" w:ascii="仿宋" w:hAnsi="仿宋" w:eastAsia="仿宋" w:cs="仿宋"/>
          <w:sz w:val="24"/>
          <w:szCs w:val="24"/>
          <w:lang w:val="zh-CN"/>
        </w:rPr>
        <w:t>兹授权</w:t>
      </w:r>
      <w:r>
        <w:rPr>
          <w:rFonts w:hint="eastAsia" w:ascii="仿宋" w:hAnsi="仿宋" w:eastAsia="仿宋" w:cs="仿宋"/>
          <w:sz w:val="24"/>
          <w:szCs w:val="24"/>
          <w:u w:val="single"/>
          <w:lang w:val="zh-CN"/>
        </w:rPr>
        <w:t xml:space="preserve">               （</w:t>
      </w:r>
      <w:r>
        <w:rPr>
          <w:rFonts w:hint="eastAsia" w:ascii="仿宋" w:hAnsi="仿宋" w:eastAsia="仿宋" w:cs="仿宋"/>
          <w:sz w:val="24"/>
          <w:szCs w:val="24"/>
          <w:lang w:val="zh-CN"/>
        </w:rPr>
        <w:t>被授权人的姓名）代表我公司参加</w:t>
      </w:r>
      <w:r>
        <w:rPr>
          <w:rFonts w:ascii="仿宋" w:hAnsi="仿宋" w:eastAsia="仿宋" w:cs="仿宋"/>
          <w:sz w:val="24"/>
          <w:szCs w:val="24"/>
          <w:u w:val="single"/>
          <w:lang w:val="zh-CN"/>
        </w:rPr>
        <w:t xml:space="preserve">       </w:t>
      </w:r>
      <w:r>
        <w:rPr>
          <w:rFonts w:hint="eastAsia" w:ascii="仿宋" w:hAnsi="仿宋" w:eastAsia="仿宋" w:cs="仿宋"/>
          <w:sz w:val="24"/>
          <w:szCs w:val="24"/>
          <w:lang w:val="zh-CN"/>
        </w:rPr>
        <w:t>项目的政府采购活动，全权处理一切与该项目投标有关的事务。其在办理上述事宜过程中所签署的所有文件我公司均予以承认。</w:t>
      </w:r>
    </w:p>
    <w:p>
      <w:pPr>
        <w:spacing w:line="360" w:lineRule="auto"/>
        <w:rPr>
          <w:rFonts w:ascii="仿宋" w:hAnsi="仿宋" w:eastAsia="仿宋" w:cs="仿宋"/>
          <w:sz w:val="24"/>
          <w:szCs w:val="24"/>
          <w:lang w:val="zh-CN"/>
        </w:rPr>
      </w:pPr>
      <w:r>
        <w:rPr>
          <w:rFonts w:hint="eastAsia" w:ascii="仿宋" w:hAnsi="仿宋" w:eastAsia="仿宋" w:cs="仿宋"/>
          <w:sz w:val="24"/>
          <w:szCs w:val="24"/>
          <w:lang w:val="zh-CN"/>
        </w:rPr>
        <w:t>附：被授权人情况：</w:t>
      </w:r>
    </w:p>
    <w:p>
      <w:pPr>
        <w:spacing w:line="360" w:lineRule="auto"/>
        <w:rPr>
          <w:rFonts w:ascii="仿宋" w:hAnsi="仿宋" w:eastAsia="仿宋" w:cs="仿宋"/>
          <w:sz w:val="24"/>
          <w:szCs w:val="24"/>
          <w:lang w:val="zh-CN"/>
        </w:rPr>
      </w:pPr>
      <w:r>
        <w:rPr>
          <w:rFonts w:hint="eastAsia" w:ascii="仿宋" w:hAnsi="仿宋" w:eastAsia="仿宋" w:cs="仿宋"/>
          <w:sz w:val="24"/>
          <w:szCs w:val="24"/>
          <w:lang w:val="zh-CN"/>
        </w:rPr>
        <w:t xml:space="preserve">姓名：          性别：    年龄：      职务：          </w:t>
      </w:r>
    </w:p>
    <w:p>
      <w:pPr>
        <w:spacing w:line="360" w:lineRule="auto"/>
        <w:rPr>
          <w:rFonts w:ascii="仿宋" w:hAnsi="仿宋" w:eastAsia="仿宋" w:cs="仿宋"/>
          <w:sz w:val="24"/>
          <w:szCs w:val="24"/>
          <w:lang w:val="zh-CN"/>
        </w:rPr>
      </w:pPr>
      <w:r>
        <w:rPr>
          <w:rFonts w:hint="eastAsia" w:ascii="仿宋" w:hAnsi="仿宋" w:eastAsia="仿宋" w:cs="仿宋"/>
          <w:sz w:val="24"/>
          <w:szCs w:val="24"/>
          <w:lang w:val="zh-CN"/>
        </w:rPr>
        <w:t xml:space="preserve">身份证号码：                                          </w:t>
      </w:r>
    </w:p>
    <w:p>
      <w:pPr>
        <w:spacing w:line="360" w:lineRule="auto"/>
        <w:rPr>
          <w:rFonts w:ascii="仿宋" w:hAnsi="仿宋" w:eastAsia="仿宋" w:cs="仿宋"/>
          <w:sz w:val="24"/>
          <w:szCs w:val="24"/>
          <w:lang w:val="zh-CN"/>
        </w:rPr>
      </w:pPr>
      <w:r>
        <w:rPr>
          <w:rFonts w:hint="eastAsia" w:ascii="仿宋" w:hAnsi="仿宋" w:eastAsia="仿宋" w:cs="仿宋"/>
          <w:sz w:val="24"/>
          <w:szCs w:val="24"/>
          <w:lang w:val="zh-CN"/>
        </w:rPr>
        <w:t xml:space="preserve">手机：                 传真：                  </w:t>
      </w:r>
    </w:p>
    <w:p>
      <w:pPr>
        <w:spacing w:line="360" w:lineRule="auto"/>
        <w:rPr>
          <w:rFonts w:ascii="仿宋" w:hAnsi="仿宋" w:eastAsia="仿宋" w:cs="仿宋"/>
          <w:sz w:val="24"/>
          <w:szCs w:val="24"/>
          <w:lang w:val="zh-CN"/>
        </w:rPr>
      </w:pPr>
      <w:r>
        <w:rPr>
          <w:rFonts w:hint="eastAsia" w:ascii="仿宋" w:hAnsi="仿宋" w:eastAsia="仿宋" w:cs="仿宋"/>
          <w:sz w:val="24"/>
          <w:szCs w:val="24"/>
          <w:lang w:val="zh-CN"/>
        </w:rPr>
        <w:t>单位名称（公章）             法定代表人（签字）</w:t>
      </w:r>
    </w:p>
    <w:p>
      <w:pPr>
        <w:spacing w:line="360" w:lineRule="auto"/>
        <w:rPr>
          <w:rFonts w:ascii="仿宋" w:hAnsi="仿宋" w:eastAsia="仿宋" w:cs="仿宋"/>
          <w:sz w:val="24"/>
          <w:szCs w:val="24"/>
          <w:lang w:val="zh-CN"/>
        </w:rPr>
      </w:pPr>
      <w:r>
        <w:rPr>
          <w:rFonts w:hint="eastAsia" w:ascii="仿宋" w:hAnsi="仿宋" w:eastAsia="仿宋" w:cs="仿宋"/>
          <w:sz w:val="24"/>
          <w:szCs w:val="24"/>
          <w:lang w:val="zh-CN"/>
        </w:rPr>
        <w:t xml:space="preserve">年   月   日                 年   月    日  </w:t>
      </w:r>
    </w:p>
    <w:p>
      <w:pPr>
        <w:spacing w:line="360" w:lineRule="auto"/>
        <w:rPr>
          <w:rFonts w:ascii="仿宋" w:hAnsi="仿宋" w:eastAsia="仿宋" w:cs="仿宋"/>
          <w:sz w:val="24"/>
          <w:szCs w:val="24"/>
          <w:lang w:val="zh-CN"/>
        </w:rPr>
      </w:pPr>
    </w:p>
    <w:p>
      <w:pPr>
        <w:spacing w:line="360" w:lineRule="auto"/>
        <w:rPr>
          <w:rFonts w:ascii="仿宋" w:hAnsi="仿宋" w:eastAsia="仿宋" w:cs="仿宋"/>
          <w:sz w:val="24"/>
          <w:szCs w:val="24"/>
          <w:lang w:val="zh-CN"/>
        </w:rPr>
      </w:pPr>
      <w:r>
        <w:rPr>
          <w:rFonts w:hint="eastAsia" w:ascii="仿宋" w:hAnsi="仿宋" w:eastAsia="仿宋" w:cs="仿宋"/>
          <w:sz w:val="24"/>
          <w:szCs w:val="24"/>
          <w:lang w:val="zh-CN"/>
        </w:rPr>
        <w:t>被授权人身份证复印件</w:t>
      </w:r>
    </w:p>
    <w:p>
      <w:pPr>
        <w:spacing w:line="360" w:lineRule="auto"/>
        <w:rPr>
          <w:rFonts w:ascii="仿宋" w:hAnsi="仿宋" w:eastAsia="仿宋" w:cs="仿宋"/>
          <w:sz w:val="24"/>
          <w:szCs w:val="24"/>
          <w:lang w:val="zh-CN"/>
        </w:rPr>
      </w:pPr>
    </w:p>
    <w:p>
      <w:pPr>
        <w:spacing w:line="360" w:lineRule="auto"/>
        <w:rPr>
          <w:rFonts w:ascii="仿宋" w:hAnsi="仿宋" w:eastAsia="仿宋" w:cs="仿宋"/>
          <w:sz w:val="24"/>
          <w:szCs w:val="24"/>
          <w:lang w:val="zh-CN"/>
        </w:rPr>
      </w:pPr>
    </w:p>
    <w:p>
      <w:pPr>
        <w:spacing w:line="360" w:lineRule="auto"/>
        <w:rPr>
          <w:rFonts w:ascii="仿宋" w:hAnsi="仿宋" w:eastAsia="仿宋" w:cs="仿宋"/>
          <w:sz w:val="24"/>
          <w:szCs w:val="24"/>
          <w:lang w:val="zh-CN"/>
        </w:rPr>
      </w:pPr>
    </w:p>
    <w:p>
      <w:pPr>
        <w:spacing w:line="360" w:lineRule="auto"/>
        <w:rPr>
          <w:rFonts w:ascii="仿宋" w:hAnsi="仿宋" w:eastAsia="仿宋" w:cs="仿宋"/>
          <w:sz w:val="24"/>
          <w:szCs w:val="24"/>
          <w:lang w:val="zh-CN"/>
        </w:rPr>
      </w:pPr>
      <w:r>
        <w:rPr>
          <w:rFonts w:hint="eastAsia" w:ascii="仿宋" w:hAnsi="仿宋" w:eastAsia="仿宋" w:cs="仿宋"/>
          <w:sz w:val="24"/>
          <w:szCs w:val="24"/>
          <w:lang w:val="zh-CN"/>
        </w:rPr>
        <w:t>法定代表人身份证复印件</w:t>
      </w:r>
    </w:p>
    <w:p>
      <w:pPr>
        <w:spacing w:line="360" w:lineRule="auto"/>
        <w:rPr>
          <w:rFonts w:ascii="仿宋" w:hAnsi="仿宋" w:eastAsia="仿宋" w:cs="仿宋"/>
          <w:sz w:val="24"/>
          <w:szCs w:val="24"/>
        </w:rPr>
      </w:pPr>
    </w:p>
    <w:p>
      <w:pPr>
        <w:widowControl/>
        <w:jc w:val="left"/>
        <w:rPr>
          <w:rFonts w:ascii="仿宋" w:hAnsi="仿宋" w:eastAsia="仿宋" w:cs="仿宋"/>
          <w:sz w:val="24"/>
          <w:szCs w:val="24"/>
        </w:rPr>
      </w:pPr>
      <w:r>
        <w:rPr>
          <w:rFonts w:hint="eastAsia" w:ascii="仿宋" w:hAnsi="仿宋" w:eastAsia="仿宋" w:cs="仿宋"/>
          <w:sz w:val="24"/>
          <w:szCs w:val="24"/>
        </w:rPr>
        <w:br w:type="page"/>
      </w:r>
    </w:p>
    <w:p>
      <w:pPr>
        <w:spacing w:before="156" w:beforeLines="50" w:after="156" w:afterLines="50" w:line="360" w:lineRule="auto"/>
        <w:rPr>
          <w:rFonts w:ascii="仿宋" w:hAnsi="仿宋" w:eastAsia="仿宋" w:cs="仿宋"/>
          <w:b/>
          <w:sz w:val="24"/>
          <w:szCs w:val="24"/>
        </w:rPr>
      </w:pPr>
      <w:r>
        <w:rPr>
          <w:rFonts w:hint="eastAsia" w:ascii="仿宋" w:hAnsi="仿宋" w:eastAsia="仿宋" w:cs="仿宋"/>
          <w:b/>
          <w:sz w:val="24"/>
          <w:szCs w:val="24"/>
        </w:rPr>
        <w:t>二、投标报价总表（单独密封）</w:t>
      </w:r>
    </w:p>
    <w:p>
      <w:pPr>
        <w:spacing w:line="360" w:lineRule="auto"/>
        <w:jc w:val="center"/>
        <w:rPr>
          <w:rFonts w:ascii="仿宋" w:hAnsi="仿宋" w:eastAsia="仿宋" w:cs="仿宋"/>
          <w:b/>
          <w:sz w:val="24"/>
          <w:szCs w:val="24"/>
        </w:rPr>
      </w:pPr>
      <w:r>
        <w:rPr>
          <w:rFonts w:hint="eastAsia" w:ascii="仿宋" w:hAnsi="仿宋" w:eastAsia="仿宋" w:cs="仿宋"/>
          <w:b/>
          <w:sz w:val="24"/>
          <w:szCs w:val="24"/>
        </w:rPr>
        <w:t>投标响应报价总表</w:t>
      </w:r>
    </w:p>
    <w:tbl>
      <w:tblPr>
        <w:tblStyle w:val="8"/>
        <w:tblW w:w="8984" w:type="dxa"/>
        <w:jc w:val="center"/>
        <w:tblLayout w:type="fixed"/>
        <w:tblCellMar>
          <w:top w:w="0" w:type="dxa"/>
          <w:left w:w="108" w:type="dxa"/>
          <w:bottom w:w="0" w:type="dxa"/>
          <w:right w:w="108" w:type="dxa"/>
        </w:tblCellMar>
      </w:tblPr>
      <w:tblGrid>
        <w:gridCol w:w="1149"/>
        <w:gridCol w:w="3515"/>
        <w:gridCol w:w="2848"/>
        <w:gridCol w:w="1472"/>
      </w:tblGrid>
      <w:tr>
        <w:tblPrEx>
          <w:tblCellMar>
            <w:top w:w="0" w:type="dxa"/>
            <w:left w:w="108" w:type="dxa"/>
            <w:bottom w:w="0" w:type="dxa"/>
            <w:right w:w="108" w:type="dxa"/>
          </w:tblCellMar>
        </w:tblPrEx>
        <w:trPr>
          <w:trHeight w:val="142"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仿宋" w:hAnsi="仿宋" w:eastAsia="仿宋" w:cs="仿宋"/>
                <w:sz w:val="24"/>
                <w:szCs w:val="24"/>
              </w:rPr>
            </w:pPr>
            <w:r>
              <w:rPr>
                <w:rFonts w:hint="eastAsia" w:ascii="仿宋" w:hAnsi="仿宋" w:eastAsia="仿宋" w:cs="仿宋"/>
                <w:sz w:val="24"/>
                <w:szCs w:val="24"/>
              </w:rPr>
              <w:t>序号</w:t>
            </w:r>
          </w:p>
        </w:tc>
        <w:tc>
          <w:tcPr>
            <w:tcW w:w="3515" w:type="dxa"/>
            <w:tcBorders>
              <w:top w:val="single" w:color="auto" w:sz="4" w:space="0"/>
              <w:left w:val="nil"/>
              <w:bottom w:val="single" w:color="auto" w:sz="4" w:space="0"/>
              <w:right w:val="single" w:color="auto" w:sz="4" w:space="0"/>
            </w:tcBorders>
            <w:vAlign w:val="center"/>
          </w:tcPr>
          <w:p>
            <w:pPr>
              <w:spacing w:line="360" w:lineRule="auto"/>
              <w:rPr>
                <w:rFonts w:ascii="仿宋" w:hAnsi="仿宋" w:eastAsia="仿宋" w:cs="仿宋"/>
                <w:sz w:val="24"/>
                <w:szCs w:val="24"/>
              </w:rPr>
            </w:pPr>
            <w:r>
              <w:rPr>
                <w:rFonts w:ascii="仿宋" w:hAnsi="仿宋" w:eastAsia="仿宋" w:cs="仿宋"/>
                <w:sz w:val="24"/>
                <w:szCs w:val="24"/>
              </w:rPr>
              <w:t>服务</w:t>
            </w:r>
            <w:r>
              <w:rPr>
                <w:rFonts w:hint="eastAsia" w:ascii="仿宋" w:hAnsi="仿宋" w:eastAsia="仿宋" w:cs="仿宋"/>
                <w:sz w:val="24"/>
                <w:szCs w:val="24"/>
              </w:rPr>
              <w:t>名称</w:t>
            </w:r>
          </w:p>
        </w:tc>
        <w:tc>
          <w:tcPr>
            <w:tcW w:w="2848" w:type="dxa"/>
            <w:tcBorders>
              <w:top w:val="single" w:color="auto" w:sz="4" w:space="0"/>
              <w:left w:val="nil"/>
              <w:bottom w:val="single" w:color="auto" w:sz="4" w:space="0"/>
              <w:right w:val="single" w:color="auto" w:sz="4" w:space="0"/>
            </w:tcBorders>
            <w:vAlign w:val="center"/>
          </w:tcPr>
          <w:p>
            <w:pPr>
              <w:spacing w:line="360" w:lineRule="auto"/>
              <w:rPr>
                <w:rFonts w:ascii="仿宋" w:hAnsi="仿宋" w:eastAsia="仿宋" w:cs="仿宋"/>
                <w:sz w:val="24"/>
                <w:szCs w:val="24"/>
              </w:rPr>
            </w:pPr>
            <w:r>
              <w:rPr>
                <w:rFonts w:hint="eastAsia" w:ascii="仿宋" w:hAnsi="仿宋" w:eastAsia="仿宋" w:cs="仿宋"/>
                <w:sz w:val="24"/>
                <w:szCs w:val="24"/>
              </w:rPr>
              <w:t>金额（元）</w:t>
            </w:r>
          </w:p>
        </w:tc>
        <w:tc>
          <w:tcPr>
            <w:tcW w:w="1472" w:type="dxa"/>
            <w:tcBorders>
              <w:top w:val="single" w:color="auto" w:sz="4" w:space="0"/>
              <w:left w:val="nil"/>
              <w:bottom w:val="single" w:color="auto" w:sz="4" w:space="0"/>
              <w:right w:val="single" w:color="auto" w:sz="4" w:space="0"/>
            </w:tcBorders>
            <w:vAlign w:val="center"/>
          </w:tcPr>
          <w:p>
            <w:pPr>
              <w:spacing w:line="360" w:lineRule="auto"/>
              <w:rPr>
                <w:rFonts w:ascii="仿宋" w:hAnsi="仿宋" w:eastAsia="仿宋" w:cs="仿宋"/>
                <w:sz w:val="24"/>
                <w:szCs w:val="24"/>
              </w:rPr>
            </w:pPr>
            <w:r>
              <w:rPr>
                <w:rFonts w:hint="eastAsia" w:ascii="仿宋" w:hAnsi="仿宋" w:eastAsia="仿宋" w:cs="仿宋"/>
                <w:sz w:val="24"/>
                <w:szCs w:val="24"/>
              </w:rPr>
              <w:t>备注</w:t>
            </w:r>
          </w:p>
        </w:tc>
      </w:tr>
      <w:tr>
        <w:tblPrEx>
          <w:tblCellMar>
            <w:top w:w="0" w:type="dxa"/>
            <w:left w:w="108" w:type="dxa"/>
            <w:bottom w:w="0" w:type="dxa"/>
            <w:right w:w="108" w:type="dxa"/>
          </w:tblCellMar>
        </w:tblPrEx>
        <w:trPr>
          <w:trHeight w:val="415" w:hRule="atLeast"/>
          <w:jc w:val="center"/>
        </w:trPr>
        <w:tc>
          <w:tcPr>
            <w:tcW w:w="1149" w:type="dxa"/>
            <w:tcBorders>
              <w:top w:val="nil"/>
              <w:left w:val="single" w:color="auto" w:sz="4" w:space="0"/>
              <w:bottom w:val="single" w:color="auto" w:sz="4" w:space="0"/>
              <w:right w:val="single" w:color="auto" w:sz="4" w:space="0"/>
            </w:tcBorders>
            <w:vAlign w:val="center"/>
          </w:tcPr>
          <w:p>
            <w:pPr>
              <w:spacing w:line="360" w:lineRule="auto"/>
              <w:rPr>
                <w:rFonts w:ascii="仿宋" w:hAnsi="仿宋" w:eastAsia="仿宋" w:cs="仿宋"/>
                <w:sz w:val="24"/>
                <w:szCs w:val="24"/>
              </w:rPr>
            </w:pPr>
            <w:r>
              <w:rPr>
                <w:rFonts w:hint="eastAsia" w:ascii="仿宋" w:hAnsi="仿宋" w:eastAsia="仿宋" w:cs="仿宋"/>
                <w:sz w:val="24"/>
                <w:szCs w:val="24"/>
              </w:rPr>
              <w:t>1</w:t>
            </w:r>
          </w:p>
        </w:tc>
        <w:tc>
          <w:tcPr>
            <w:tcW w:w="3515" w:type="dxa"/>
            <w:tcBorders>
              <w:top w:val="nil"/>
              <w:left w:val="nil"/>
              <w:bottom w:val="single" w:color="auto" w:sz="4" w:space="0"/>
              <w:right w:val="single" w:color="auto" w:sz="4" w:space="0"/>
            </w:tcBorders>
            <w:vAlign w:val="center"/>
          </w:tcPr>
          <w:p>
            <w:pPr>
              <w:spacing w:line="360" w:lineRule="auto"/>
              <w:rPr>
                <w:rFonts w:ascii="仿宋" w:hAnsi="仿宋" w:eastAsia="仿宋" w:cs="仿宋"/>
                <w:sz w:val="24"/>
                <w:szCs w:val="24"/>
              </w:rPr>
            </w:pPr>
          </w:p>
        </w:tc>
        <w:tc>
          <w:tcPr>
            <w:tcW w:w="2848" w:type="dxa"/>
            <w:tcBorders>
              <w:top w:val="nil"/>
              <w:left w:val="nil"/>
              <w:bottom w:val="single" w:color="auto" w:sz="4" w:space="0"/>
              <w:right w:val="single" w:color="auto" w:sz="4" w:space="0"/>
            </w:tcBorders>
            <w:vAlign w:val="center"/>
          </w:tcPr>
          <w:p>
            <w:pPr>
              <w:spacing w:line="360" w:lineRule="auto"/>
              <w:rPr>
                <w:rFonts w:ascii="仿宋" w:hAnsi="仿宋" w:eastAsia="仿宋" w:cs="仿宋"/>
                <w:sz w:val="24"/>
                <w:szCs w:val="24"/>
              </w:rPr>
            </w:pPr>
          </w:p>
        </w:tc>
        <w:tc>
          <w:tcPr>
            <w:tcW w:w="1472" w:type="dxa"/>
            <w:tcBorders>
              <w:top w:val="nil"/>
              <w:left w:val="nil"/>
              <w:bottom w:val="single" w:color="auto" w:sz="4" w:space="0"/>
              <w:right w:val="single" w:color="auto" w:sz="4" w:space="0"/>
            </w:tcBorders>
            <w:vAlign w:val="center"/>
          </w:tcPr>
          <w:p>
            <w:pPr>
              <w:spacing w:line="360" w:lineRule="auto"/>
              <w:rPr>
                <w:rFonts w:ascii="仿宋" w:hAnsi="仿宋" w:eastAsia="仿宋" w:cs="仿宋"/>
                <w:sz w:val="24"/>
                <w:szCs w:val="24"/>
              </w:rPr>
            </w:pPr>
          </w:p>
        </w:tc>
      </w:tr>
      <w:tr>
        <w:tblPrEx>
          <w:tblCellMar>
            <w:top w:w="0" w:type="dxa"/>
            <w:left w:w="108" w:type="dxa"/>
            <w:bottom w:w="0" w:type="dxa"/>
            <w:right w:w="108" w:type="dxa"/>
          </w:tblCellMar>
        </w:tblPrEx>
        <w:trPr>
          <w:trHeight w:val="163" w:hRule="atLeast"/>
          <w:jc w:val="center"/>
        </w:trPr>
        <w:tc>
          <w:tcPr>
            <w:tcW w:w="1149" w:type="dxa"/>
            <w:tcBorders>
              <w:top w:val="nil"/>
              <w:left w:val="single" w:color="auto" w:sz="4" w:space="0"/>
              <w:bottom w:val="single" w:color="auto" w:sz="4" w:space="0"/>
              <w:right w:val="single" w:color="auto" w:sz="4" w:space="0"/>
            </w:tcBorders>
            <w:vAlign w:val="center"/>
          </w:tcPr>
          <w:p>
            <w:pPr>
              <w:spacing w:line="360" w:lineRule="auto"/>
              <w:rPr>
                <w:rFonts w:ascii="仿宋" w:hAnsi="仿宋" w:eastAsia="仿宋" w:cs="仿宋"/>
                <w:sz w:val="24"/>
                <w:szCs w:val="24"/>
              </w:rPr>
            </w:pPr>
            <w:r>
              <w:rPr>
                <w:rFonts w:hint="eastAsia" w:ascii="仿宋" w:hAnsi="仿宋" w:eastAsia="仿宋" w:cs="仿宋"/>
                <w:sz w:val="24"/>
                <w:szCs w:val="24"/>
              </w:rPr>
              <w:t>2</w:t>
            </w:r>
          </w:p>
        </w:tc>
        <w:tc>
          <w:tcPr>
            <w:tcW w:w="3515" w:type="dxa"/>
            <w:tcBorders>
              <w:top w:val="nil"/>
              <w:left w:val="nil"/>
              <w:bottom w:val="single" w:color="auto" w:sz="4" w:space="0"/>
              <w:right w:val="single" w:color="auto" w:sz="4" w:space="0"/>
            </w:tcBorders>
            <w:vAlign w:val="center"/>
          </w:tcPr>
          <w:p>
            <w:pPr>
              <w:spacing w:line="360" w:lineRule="auto"/>
              <w:rPr>
                <w:rFonts w:ascii="仿宋" w:hAnsi="仿宋" w:eastAsia="仿宋" w:cs="仿宋"/>
                <w:sz w:val="24"/>
                <w:szCs w:val="24"/>
              </w:rPr>
            </w:pPr>
          </w:p>
        </w:tc>
        <w:tc>
          <w:tcPr>
            <w:tcW w:w="2848" w:type="dxa"/>
            <w:tcBorders>
              <w:top w:val="nil"/>
              <w:left w:val="nil"/>
              <w:bottom w:val="single" w:color="auto" w:sz="4" w:space="0"/>
              <w:right w:val="single" w:color="auto" w:sz="4" w:space="0"/>
            </w:tcBorders>
            <w:vAlign w:val="center"/>
          </w:tcPr>
          <w:p>
            <w:pPr>
              <w:spacing w:line="360" w:lineRule="auto"/>
              <w:rPr>
                <w:rFonts w:ascii="仿宋" w:hAnsi="仿宋" w:eastAsia="仿宋" w:cs="仿宋"/>
                <w:sz w:val="24"/>
                <w:szCs w:val="24"/>
              </w:rPr>
            </w:pPr>
          </w:p>
        </w:tc>
        <w:tc>
          <w:tcPr>
            <w:tcW w:w="1472" w:type="dxa"/>
            <w:tcBorders>
              <w:top w:val="nil"/>
              <w:left w:val="nil"/>
              <w:bottom w:val="single" w:color="auto" w:sz="4" w:space="0"/>
              <w:right w:val="single" w:color="auto" w:sz="4" w:space="0"/>
            </w:tcBorders>
            <w:vAlign w:val="center"/>
          </w:tcPr>
          <w:p>
            <w:pPr>
              <w:spacing w:line="360" w:lineRule="auto"/>
              <w:rPr>
                <w:rFonts w:ascii="仿宋" w:hAnsi="仿宋" w:eastAsia="仿宋" w:cs="仿宋"/>
                <w:sz w:val="24"/>
                <w:szCs w:val="24"/>
              </w:rPr>
            </w:pPr>
          </w:p>
        </w:tc>
      </w:tr>
      <w:tr>
        <w:tblPrEx>
          <w:tblCellMar>
            <w:top w:w="0" w:type="dxa"/>
            <w:left w:w="108" w:type="dxa"/>
            <w:bottom w:w="0" w:type="dxa"/>
            <w:right w:w="108" w:type="dxa"/>
          </w:tblCellMar>
        </w:tblPrEx>
        <w:trPr>
          <w:trHeight w:val="415" w:hRule="atLeast"/>
          <w:jc w:val="center"/>
        </w:trPr>
        <w:tc>
          <w:tcPr>
            <w:tcW w:w="1149" w:type="dxa"/>
            <w:tcBorders>
              <w:top w:val="nil"/>
              <w:left w:val="single" w:color="auto" w:sz="4" w:space="0"/>
              <w:bottom w:val="single" w:color="auto" w:sz="4" w:space="0"/>
              <w:right w:val="single" w:color="auto" w:sz="4" w:space="0"/>
            </w:tcBorders>
            <w:vAlign w:val="center"/>
          </w:tcPr>
          <w:p>
            <w:pPr>
              <w:spacing w:line="360" w:lineRule="auto"/>
              <w:rPr>
                <w:rFonts w:ascii="仿宋" w:hAnsi="仿宋" w:eastAsia="仿宋" w:cs="仿宋"/>
                <w:sz w:val="24"/>
                <w:szCs w:val="24"/>
              </w:rPr>
            </w:pPr>
            <w:r>
              <w:rPr>
                <w:rFonts w:hint="eastAsia" w:ascii="仿宋" w:hAnsi="仿宋" w:eastAsia="仿宋" w:cs="仿宋"/>
                <w:sz w:val="24"/>
                <w:szCs w:val="24"/>
              </w:rPr>
              <w:t>3</w:t>
            </w:r>
          </w:p>
        </w:tc>
        <w:tc>
          <w:tcPr>
            <w:tcW w:w="3515" w:type="dxa"/>
            <w:tcBorders>
              <w:top w:val="nil"/>
              <w:left w:val="nil"/>
              <w:bottom w:val="single" w:color="auto" w:sz="4" w:space="0"/>
              <w:right w:val="single" w:color="auto" w:sz="4" w:space="0"/>
            </w:tcBorders>
            <w:vAlign w:val="center"/>
          </w:tcPr>
          <w:p>
            <w:pPr>
              <w:spacing w:line="360" w:lineRule="auto"/>
              <w:rPr>
                <w:rFonts w:ascii="仿宋" w:hAnsi="仿宋" w:eastAsia="仿宋" w:cs="仿宋"/>
                <w:sz w:val="24"/>
                <w:szCs w:val="24"/>
              </w:rPr>
            </w:pPr>
          </w:p>
        </w:tc>
        <w:tc>
          <w:tcPr>
            <w:tcW w:w="2848" w:type="dxa"/>
            <w:tcBorders>
              <w:top w:val="nil"/>
              <w:left w:val="nil"/>
              <w:bottom w:val="single" w:color="auto" w:sz="4" w:space="0"/>
              <w:right w:val="single" w:color="auto" w:sz="4" w:space="0"/>
            </w:tcBorders>
            <w:vAlign w:val="center"/>
          </w:tcPr>
          <w:p>
            <w:pPr>
              <w:spacing w:line="360" w:lineRule="auto"/>
              <w:rPr>
                <w:rFonts w:ascii="仿宋" w:hAnsi="仿宋" w:eastAsia="仿宋" w:cs="仿宋"/>
                <w:sz w:val="24"/>
                <w:szCs w:val="24"/>
              </w:rPr>
            </w:pPr>
          </w:p>
        </w:tc>
        <w:tc>
          <w:tcPr>
            <w:tcW w:w="1472" w:type="dxa"/>
            <w:tcBorders>
              <w:top w:val="nil"/>
              <w:left w:val="nil"/>
              <w:bottom w:val="single" w:color="auto" w:sz="4" w:space="0"/>
              <w:right w:val="single" w:color="auto" w:sz="4" w:space="0"/>
            </w:tcBorders>
            <w:vAlign w:val="center"/>
          </w:tcPr>
          <w:p>
            <w:pPr>
              <w:spacing w:line="360" w:lineRule="auto"/>
              <w:rPr>
                <w:rFonts w:ascii="仿宋" w:hAnsi="仿宋" w:eastAsia="仿宋" w:cs="仿宋"/>
                <w:sz w:val="24"/>
                <w:szCs w:val="24"/>
              </w:rPr>
            </w:pPr>
          </w:p>
        </w:tc>
      </w:tr>
      <w:tr>
        <w:tblPrEx>
          <w:tblCellMar>
            <w:top w:w="0" w:type="dxa"/>
            <w:left w:w="108" w:type="dxa"/>
            <w:bottom w:w="0" w:type="dxa"/>
            <w:right w:w="108" w:type="dxa"/>
          </w:tblCellMar>
        </w:tblPrEx>
        <w:trPr>
          <w:trHeight w:val="415" w:hRule="atLeast"/>
          <w:jc w:val="center"/>
        </w:trPr>
        <w:tc>
          <w:tcPr>
            <w:tcW w:w="1149" w:type="dxa"/>
            <w:tcBorders>
              <w:top w:val="nil"/>
              <w:left w:val="single" w:color="auto" w:sz="4" w:space="0"/>
              <w:bottom w:val="single" w:color="auto" w:sz="4" w:space="0"/>
              <w:right w:val="single" w:color="auto" w:sz="4" w:space="0"/>
            </w:tcBorders>
            <w:vAlign w:val="center"/>
          </w:tcPr>
          <w:p>
            <w:pPr>
              <w:spacing w:line="360" w:lineRule="auto"/>
              <w:rPr>
                <w:rFonts w:ascii="仿宋" w:hAnsi="仿宋" w:eastAsia="仿宋" w:cs="仿宋"/>
                <w:sz w:val="24"/>
                <w:szCs w:val="24"/>
              </w:rPr>
            </w:pPr>
          </w:p>
        </w:tc>
        <w:tc>
          <w:tcPr>
            <w:tcW w:w="3515" w:type="dxa"/>
            <w:tcBorders>
              <w:top w:val="nil"/>
              <w:left w:val="nil"/>
              <w:bottom w:val="single" w:color="auto" w:sz="4" w:space="0"/>
              <w:right w:val="single" w:color="auto" w:sz="4" w:space="0"/>
            </w:tcBorders>
            <w:vAlign w:val="center"/>
          </w:tcPr>
          <w:p>
            <w:pPr>
              <w:spacing w:line="360" w:lineRule="auto"/>
              <w:rPr>
                <w:rFonts w:ascii="仿宋" w:hAnsi="仿宋" w:eastAsia="仿宋" w:cs="仿宋"/>
                <w:sz w:val="24"/>
                <w:szCs w:val="24"/>
              </w:rPr>
            </w:pPr>
          </w:p>
        </w:tc>
        <w:tc>
          <w:tcPr>
            <w:tcW w:w="2848" w:type="dxa"/>
            <w:tcBorders>
              <w:top w:val="nil"/>
              <w:left w:val="nil"/>
              <w:bottom w:val="single" w:color="auto" w:sz="4" w:space="0"/>
              <w:right w:val="single" w:color="auto" w:sz="4" w:space="0"/>
            </w:tcBorders>
            <w:vAlign w:val="center"/>
          </w:tcPr>
          <w:p>
            <w:pPr>
              <w:spacing w:line="360" w:lineRule="auto"/>
              <w:rPr>
                <w:rFonts w:ascii="仿宋" w:hAnsi="仿宋" w:eastAsia="仿宋" w:cs="仿宋"/>
                <w:sz w:val="24"/>
                <w:szCs w:val="24"/>
              </w:rPr>
            </w:pPr>
          </w:p>
        </w:tc>
        <w:tc>
          <w:tcPr>
            <w:tcW w:w="1472" w:type="dxa"/>
            <w:tcBorders>
              <w:top w:val="nil"/>
              <w:left w:val="nil"/>
              <w:bottom w:val="single" w:color="auto" w:sz="4" w:space="0"/>
              <w:right w:val="single" w:color="auto" w:sz="4" w:space="0"/>
            </w:tcBorders>
            <w:vAlign w:val="center"/>
          </w:tcPr>
          <w:p>
            <w:pPr>
              <w:spacing w:line="360" w:lineRule="auto"/>
              <w:rPr>
                <w:rFonts w:ascii="仿宋" w:hAnsi="仿宋" w:eastAsia="仿宋" w:cs="仿宋"/>
                <w:sz w:val="24"/>
                <w:szCs w:val="24"/>
              </w:rPr>
            </w:pPr>
          </w:p>
        </w:tc>
      </w:tr>
      <w:tr>
        <w:tblPrEx>
          <w:tblCellMar>
            <w:top w:w="0" w:type="dxa"/>
            <w:left w:w="108" w:type="dxa"/>
            <w:bottom w:w="0" w:type="dxa"/>
            <w:right w:w="108" w:type="dxa"/>
          </w:tblCellMar>
        </w:tblPrEx>
        <w:trPr>
          <w:trHeight w:val="415" w:hRule="atLeast"/>
          <w:jc w:val="center"/>
        </w:trPr>
        <w:tc>
          <w:tcPr>
            <w:tcW w:w="1149" w:type="dxa"/>
            <w:tcBorders>
              <w:top w:val="nil"/>
              <w:left w:val="single" w:color="auto" w:sz="4" w:space="0"/>
              <w:bottom w:val="single" w:color="auto" w:sz="4" w:space="0"/>
              <w:right w:val="single" w:color="auto" w:sz="4" w:space="0"/>
            </w:tcBorders>
            <w:vAlign w:val="center"/>
          </w:tcPr>
          <w:p>
            <w:pPr>
              <w:spacing w:line="360" w:lineRule="auto"/>
              <w:rPr>
                <w:rFonts w:ascii="仿宋" w:hAnsi="仿宋" w:eastAsia="仿宋" w:cs="仿宋"/>
                <w:sz w:val="24"/>
                <w:szCs w:val="24"/>
              </w:rPr>
            </w:pPr>
          </w:p>
        </w:tc>
        <w:tc>
          <w:tcPr>
            <w:tcW w:w="3515" w:type="dxa"/>
            <w:tcBorders>
              <w:top w:val="nil"/>
              <w:left w:val="nil"/>
              <w:bottom w:val="single" w:color="auto" w:sz="4" w:space="0"/>
              <w:right w:val="single" w:color="auto" w:sz="4" w:space="0"/>
            </w:tcBorders>
            <w:vAlign w:val="center"/>
          </w:tcPr>
          <w:p>
            <w:pPr>
              <w:spacing w:line="360" w:lineRule="auto"/>
              <w:rPr>
                <w:rFonts w:ascii="仿宋" w:hAnsi="仿宋" w:eastAsia="仿宋" w:cs="仿宋"/>
                <w:sz w:val="24"/>
                <w:szCs w:val="24"/>
              </w:rPr>
            </w:pPr>
          </w:p>
        </w:tc>
        <w:tc>
          <w:tcPr>
            <w:tcW w:w="2848" w:type="dxa"/>
            <w:tcBorders>
              <w:top w:val="nil"/>
              <w:left w:val="nil"/>
              <w:bottom w:val="single" w:color="auto" w:sz="4" w:space="0"/>
              <w:right w:val="single" w:color="auto" w:sz="4" w:space="0"/>
            </w:tcBorders>
            <w:vAlign w:val="center"/>
          </w:tcPr>
          <w:p>
            <w:pPr>
              <w:spacing w:line="360" w:lineRule="auto"/>
              <w:rPr>
                <w:rFonts w:ascii="仿宋" w:hAnsi="仿宋" w:eastAsia="仿宋" w:cs="仿宋"/>
                <w:sz w:val="24"/>
                <w:szCs w:val="24"/>
              </w:rPr>
            </w:pPr>
          </w:p>
        </w:tc>
        <w:tc>
          <w:tcPr>
            <w:tcW w:w="1472" w:type="dxa"/>
            <w:tcBorders>
              <w:top w:val="nil"/>
              <w:left w:val="nil"/>
              <w:bottom w:val="single" w:color="auto" w:sz="4" w:space="0"/>
              <w:right w:val="single" w:color="auto" w:sz="4" w:space="0"/>
            </w:tcBorders>
            <w:vAlign w:val="center"/>
          </w:tcPr>
          <w:p>
            <w:pPr>
              <w:spacing w:line="360" w:lineRule="auto"/>
              <w:rPr>
                <w:rFonts w:ascii="仿宋" w:hAnsi="仿宋" w:eastAsia="仿宋" w:cs="仿宋"/>
                <w:sz w:val="24"/>
                <w:szCs w:val="24"/>
              </w:rPr>
            </w:pPr>
          </w:p>
        </w:tc>
      </w:tr>
      <w:tr>
        <w:tblPrEx>
          <w:tblCellMar>
            <w:top w:w="0" w:type="dxa"/>
            <w:left w:w="108" w:type="dxa"/>
            <w:bottom w:w="0" w:type="dxa"/>
            <w:right w:w="108" w:type="dxa"/>
          </w:tblCellMar>
        </w:tblPrEx>
        <w:trPr>
          <w:trHeight w:val="415" w:hRule="atLeast"/>
          <w:jc w:val="center"/>
        </w:trPr>
        <w:tc>
          <w:tcPr>
            <w:tcW w:w="1149" w:type="dxa"/>
            <w:tcBorders>
              <w:top w:val="nil"/>
              <w:left w:val="single" w:color="auto" w:sz="4" w:space="0"/>
              <w:bottom w:val="single" w:color="auto" w:sz="4" w:space="0"/>
              <w:right w:val="single" w:color="auto" w:sz="4" w:space="0"/>
            </w:tcBorders>
            <w:vAlign w:val="center"/>
          </w:tcPr>
          <w:p>
            <w:pPr>
              <w:spacing w:line="360" w:lineRule="auto"/>
              <w:rPr>
                <w:rFonts w:ascii="仿宋" w:hAnsi="仿宋" w:eastAsia="仿宋" w:cs="仿宋"/>
                <w:b/>
                <w:bCs/>
                <w:sz w:val="24"/>
                <w:szCs w:val="24"/>
              </w:rPr>
            </w:pPr>
            <w:r>
              <w:rPr>
                <w:rFonts w:hint="eastAsia" w:ascii="仿宋" w:hAnsi="仿宋" w:eastAsia="仿宋" w:cs="仿宋"/>
                <w:b/>
                <w:bCs/>
                <w:sz w:val="24"/>
                <w:szCs w:val="24"/>
              </w:rPr>
              <w:t>总报价</w:t>
            </w:r>
          </w:p>
        </w:tc>
        <w:tc>
          <w:tcPr>
            <w:tcW w:w="7835" w:type="dxa"/>
            <w:gridSpan w:val="3"/>
            <w:tcBorders>
              <w:top w:val="nil"/>
              <w:left w:val="nil"/>
              <w:bottom w:val="single" w:color="auto" w:sz="4" w:space="0"/>
              <w:right w:val="single" w:color="auto" w:sz="4" w:space="0"/>
            </w:tcBorders>
            <w:vAlign w:val="center"/>
          </w:tcPr>
          <w:p>
            <w:pPr>
              <w:spacing w:line="360" w:lineRule="auto"/>
              <w:rPr>
                <w:rFonts w:ascii="仿宋" w:hAnsi="仿宋" w:eastAsia="仿宋" w:cs="仿宋"/>
                <w:b/>
                <w:bCs/>
                <w:sz w:val="24"/>
                <w:szCs w:val="24"/>
              </w:rPr>
            </w:pPr>
            <w:r>
              <w:rPr>
                <w:rFonts w:hint="eastAsia" w:ascii="仿宋" w:hAnsi="仿宋" w:eastAsia="仿宋" w:cs="仿宋"/>
                <w:b/>
                <w:bCs/>
                <w:sz w:val="24"/>
                <w:szCs w:val="24"/>
              </w:rPr>
              <w:t>人民币（大写）              元整</w:t>
            </w:r>
          </w:p>
          <w:p>
            <w:pPr>
              <w:spacing w:line="360" w:lineRule="auto"/>
              <w:rPr>
                <w:rFonts w:ascii="仿宋" w:hAnsi="仿宋" w:eastAsia="仿宋" w:cs="仿宋"/>
                <w:b/>
                <w:bCs/>
                <w:sz w:val="24"/>
                <w:szCs w:val="24"/>
              </w:rPr>
            </w:pPr>
            <w:r>
              <w:rPr>
                <w:rFonts w:hint="eastAsia" w:ascii="仿宋" w:hAnsi="仿宋" w:eastAsia="仿宋" w:cs="仿宋"/>
                <w:b/>
                <w:bCs/>
                <w:sz w:val="24"/>
                <w:szCs w:val="24"/>
              </w:rPr>
              <w:t>（</w:t>
            </w:r>
            <w:r>
              <w:rPr>
                <w:rFonts w:ascii="Calibri" w:hAnsi="Calibri" w:eastAsia="仿宋" w:cs="Calibri"/>
                <w:b/>
                <w:bCs/>
                <w:sz w:val="24"/>
                <w:szCs w:val="24"/>
              </w:rPr>
              <w:t>¥</w:t>
            </w:r>
            <w:r>
              <w:rPr>
                <w:rFonts w:hint="eastAsia" w:ascii="仿宋" w:hAnsi="仿宋" w:eastAsia="仿宋" w:cs="仿宋"/>
                <w:b/>
                <w:bCs/>
                <w:sz w:val="24"/>
                <w:szCs w:val="24"/>
              </w:rPr>
              <w:t>元整）</w:t>
            </w:r>
          </w:p>
        </w:tc>
      </w:tr>
    </w:tbl>
    <w:p>
      <w:pPr>
        <w:spacing w:line="360" w:lineRule="auto"/>
        <w:rPr>
          <w:rFonts w:ascii="仿宋" w:hAnsi="仿宋" w:eastAsia="仿宋" w:cs="仿宋"/>
          <w:sz w:val="24"/>
          <w:szCs w:val="24"/>
        </w:rPr>
      </w:pPr>
    </w:p>
    <w:p>
      <w:pPr>
        <w:spacing w:line="360" w:lineRule="auto"/>
        <w:rPr>
          <w:rFonts w:ascii="仿宋" w:hAnsi="仿宋" w:eastAsia="仿宋" w:cs="仿宋"/>
          <w:sz w:val="24"/>
          <w:szCs w:val="24"/>
        </w:rPr>
      </w:pPr>
      <w:r>
        <w:rPr>
          <w:rFonts w:hint="eastAsia" w:ascii="仿宋" w:hAnsi="仿宋" w:eastAsia="仿宋" w:cs="仿宋"/>
          <w:sz w:val="24"/>
          <w:szCs w:val="24"/>
        </w:rPr>
        <w:t>法定代表人或被授权人（签字）：</w:t>
      </w:r>
    </w:p>
    <w:p>
      <w:pPr>
        <w:spacing w:line="360" w:lineRule="auto"/>
        <w:rPr>
          <w:rFonts w:ascii="仿宋" w:hAnsi="仿宋" w:eastAsia="仿宋" w:cs="仿宋"/>
          <w:sz w:val="24"/>
          <w:szCs w:val="24"/>
        </w:rPr>
      </w:pPr>
      <w:r>
        <w:rPr>
          <w:rFonts w:hint="eastAsia" w:ascii="仿宋" w:hAnsi="仿宋" w:eastAsia="仿宋" w:cs="仿宋"/>
          <w:sz w:val="24"/>
          <w:szCs w:val="24"/>
        </w:rPr>
        <w:t>参加投标供应商（盖章）：</w:t>
      </w:r>
    </w:p>
    <w:p>
      <w:pPr>
        <w:spacing w:line="360" w:lineRule="auto"/>
        <w:rPr>
          <w:rFonts w:ascii="仿宋" w:hAnsi="仿宋" w:eastAsia="仿宋" w:cs="仿宋"/>
          <w:sz w:val="24"/>
          <w:szCs w:val="24"/>
        </w:rPr>
      </w:pPr>
      <w:r>
        <w:rPr>
          <w:rFonts w:hint="eastAsia" w:ascii="仿宋" w:hAnsi="仿宋" w:eastAsia="仿宋" w:cs="仿宋"/>
          <w:sz w:val="24"/>
          <w:szCs w:val="24"/>
        </w:rPr>
        <w:t>注：投标总报价（以人民币计价）应包含实施该项目所有费用。</w:t>
      </w:r>
    </w:p>
    <w:p>
      <w:pPr>
        <w:spacing w:line="360" w:lineRule="auto"/>
        <w:rPr>
          <w:rFonts w:ascii="仿宋" w:hAnsi="仿宋" w:eastAsia="仿宋" w:cs="仿宋"/>
          <w:sz w:val="24"/>
          <w:szCs w:val="24"/>
        </w:rPr>
      </w:pPr>
    </w:p>
    <w:p>
      <w:pPr>
        <w:widowControl/>
        <w:jc w:val="left"/>
        <w:rPr>
          <w:rFonts w:ascii="仿宋" w:hAnsi="仿宋" w:eastAsia="仿宋" w:cs="仿宋"/>
          <w:sz w:val="24"/>
          <w:szCs w:val="24"/>
        </w:rPr>
      </w:pPr>
      <w:r>
        <w:rPr>
          <w:rFonts w:hint="eastAsia" w:ascii="仿宋" w:hAnsi="仿宋" w:eastAsia="仿宋" w:cs="仿宋"/>
          <w:sz w:val="24"/>
          <w:szCs w:val="24"/>
        </w:rPr>
        <w:br w:type="page"/>
      </w:r>
    </w:p>
    <w:p>
      <w:pPr>
        <w:spacing w:before="156" w:beforeLines="50" w:after="156" w:afterLines="50" w:line="360" w:lineRule="auto"/>
        <w:rPr>
          <w:rFonts w:ascii="仿宋" w:hAnsi="仿宋" w:eastAsia="仿宋" w:cs="仿宋"/>
          <w:b/>
          <w:sz w:val="24"/>
          <w:szCs w:val="24"/>
        </w:rPr>
      </w:pPr>
      <w:r>
        <w:rPr>
          <w:rFonts w:hint="eastAsia" w:ascii="仿宋" w:hAnsi="仿宋" w:eastAsia="仿宋" w:cs="仿宋"/>
          <w:b/>
          <w:sz w:val="24"/>
          <w:szCs w:val="24"/>
        </w:rPr>
        <w:t>三、投标承诺书</w:t>
      </w:r>
    </w:p>
    <w:p>
      <w:pPr>
        <w:spacing w:line="360" w:lineRule="auto"/>
        <w:rPr>
          <w:rFonts w:ascii="仿宋" w:hAnsi="仿宋" w:eastAsia="仿宋" w:cs="仿宋"/>
          <w:sz w:val="24"/>
          <w:szCs w:val="24"/>
        </w:rPr>
      </w:pPr>
      <w:r>
        <w:rPr>
          <w:rFonts w:hint="eastAsia" w:ascii="仿宋" w:hAnsi="仿宋" w:eastAsia="仿宋" w:cs="仿宋"/>
          <w:sz w:val="24"/>
          <w:szCs w:val="24"/>
        </w:rPr>
        <w:t>南通市市域治理现代化指挥中心：</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（投标单位全称）授权（姓  名）（职  务）为全权代表，参加</w:t>
      </w:r>
      <w:r>
        <w:rPr>
          <w:rFonts w:hint="eastAsia" w:ascii="仿宋" w:hAnsi="仿宋" w:eastAsia="仿宋" w:cs="仿宋"/>
          <w:sz w:val="24"/>
          <w:szCs w:val="24"/>
          <w:u w:val="single"/>
        </w:rPr>
        <w:t xml:space="preserve"> </w:t>
      </w:r>
      <w:r>
        <w:rPr>
          <w:rFonts w:ascii="仿宋" w:hAnsi="仿宋" w:eastAsia="仿宋" w:cs="仿宋"/>
          <w:sz w:val="24"/>
          <w:szCs w:val="24"/>
          <w:u w:val="single"/>
        </w:rPr>
        <w:t xml:space="preserve">          </w:t>
      </w:r>
      <w:r>
        <w:rPr>
          <w:rFonts w:hint="eastAsia" w:ascii="仿宋" w:hAnsi="仿宋" w:eastAsia="仿宋" w:cs="仿宋"/>
          <w:sz w:val="24"/>
          <w:szCs w:val="24"/>
        </w:rPr>
        <w:t>招标的有关活动，并宣布同意如下：</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1．我方愿意按照招标文件的全部要求进行投标（投标内容及价格以投标文件为准）。</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2．我方完全理解并同意放弃对招标文件有不明及误解的权利。</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3．我方将按招标文件的规定履行合同责任和义务。</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4．如果我方在投标有效期内撤回投标，投标保证金将被贵方没收。</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5．我方同意提供按照贵方可能要求的与其投标有关的一切数据或资料。</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6．我方的投标书自开标后60天内有效。</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7．与本投标有关的一切往来通讯请寄：</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地址：　　　　　　　　　　　　　邮编：</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电话：　　　　　　　　　　　　　传真：</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授权委托人签字：　　　　　　　　职务：</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投标单位名称：（加盖单位公章）</w:t>
      </w:r>
    </w:p>
    <w:p>
      <w:pPr>
        <w:spacing w:line="360" w:lineRule="auto"/>
        <w:ind w:firstLine="480" w:firstLineChars="200"/>
        <w:rPr>
          <w:rFonts w:ascii="仿宋" w:hAnsi="仿宋" w:eastAsia="仿宋" w:cs="仿宋"/>
          <w:color w:val="000000"/>
          <w:sz w:val="24"/>
          <w:szCs w:val="24"/>
        </w:rPr>
      </w:pPr>
      <w:r>
        <w:rPr>
          <w:rFonts w:hint="eastAsia" w:ascii="仿宋" w:hAnsi="仿宋" w:eastAsia="仿宋" w:cs="仿宋"/>
          <w:sz w:val="24"/>
          <w:szCs w:val="24"/>
        </w:rPr>
        <w:t>日期：        年     月      日　　</w:t>
      </w:r>
    </w:p>
    <w:p>
      <w:pPr>
        <w:spacing w:line="360" w:lineRule="auto"/>
        <w:rPr>
          <w:rFonts w:ascii="仿宋" w:hAnsi="仿宋" w:eastAsia="仿宋" w:cs="仿宋"/>
          <w:sz w:val="24"/>
          <w:szCs w:val="24"/>
        </w:rPr>
      </w:pPr>
    </w:p>
    <w:p>
      <w:pPr>
        <w:spacing w:line="360" w:lineRule="auto"/>
        <w:rPr>
          <w:rFonts w:ascii="仿宋" w:hAnsi="仿宋" w:eastAsia="仿宋" w:cs="仿宋"/>
          <w:sz w:val="24"/>
          <w:szCs w:val="24"/>
        </w:rPr>
      </w:pPr>
    </w:p>
    <w:p>
      <w:pPr>
        <w:spacing w:before="156" w:beforeLines="50" w:after="156" w:afterLines="50" w:line="360" w:lineRule="auto"/>
        <w:rPr>
          <w:rFonts w:ascii="仿宋" w:hAnsi="仿宋" w:eastAsia="仿宋" w:cs="仿宋"/>
          <w:b/>
          <w:sz w:val="24"/>
          <w:szCs w:val="24"/>
        </w:rPr>
      </w:pPr>
      <w:r>
        <w:rPr>
          <w:rFonts w:hint="eastAsia" w:ascii="仿宋" w:hAnsi="仿宋" w:eastAsia="仿宋" w:cs="仿宋"/>
          <w:b/>
          <w:sz w:val="24"/>
          <w:szCs w:val="24"/>
        </w:rPr>
        <w:t>四、其他</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请投标人根据评分标准组织资料，格式不限，但要求目录清晰、内容完备，便于评委评判。因目录不清晰或提供的材料（复印件）模糊，以至三分之二以上评委无法判断，而影响评分的责任由投标人自行承担。</w:t>
      </w:r>
    </w:p>
    <w:p>
      <w:pPr>
        <w:snapToGrid w:val="0"/>
        <w:spacing w:line="360" w:lineRule="auto"/>
        <w:jc w:val="left"/>
        <w:rPr>
          <w:rFonts w:ascii="仿宋" w:hAnsi="仿宋" w:eastAsia="仿宋" w:cs="仿宋"/>
          <w:sz w:val="24"/>
          <w:szCs w:val="24"/>
        </w:rPr>
      </w:pPr>
    </w:p>
    <w:p>
      <w:pPr>
        <w:rPr>
          <w:rFonts w:ascii="仿宋" w:hAnsi="仿宋" w:eastAsia="仿宋"/>
        </w:rPr>
      </w:pPr>
    </w:p>
    <w:sectPr>
      <w:footerReference r:id="rId4"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88235319"/>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70719049"/>
    </w:sdtPr>
    <w:sdtContent>
      <w:p>
        <w:pPr>
          <w:pStyle w:val="4"/>
          <w:jc w:val="center"/>
        </w:pPr>
        <w:r>
          <w:fldChar w:fldCharType="begin"/>
        </w:r>
        <w:r>
          <w:instrText xml:space="preserve">PAGE   \* MERGEFORMAT</w:instrText>
        </w:r>
        <w:r>
          <w:fldChar w:fldCharType="separate"/>
        </w:r>
        <w:r>
          <w:rPr>
            <w:lang w:val="zh-CN"/>
          </w:rPr>
          <w:t>-</w:t>
        </w:r>
        <w:r>
          <w:t xml:space="preserve"> 8 -</w:t>
        </w:r>
        <w: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F24DDA"/>
    <w:multiLevelType w:val="multilevel"/>
    <w:tmpl w:val="08F24DDA"/>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E30"/>
    <w:rsid w:val="000110D1"/>
    <w:rsid w:val="0002477E"/>
    <w:rsid w:val="000777E1"/>
    <w:rsid w:val="000E6185"/>
    <w:rsid w:val="00167A46"/>
    <w:rsid w:val="001752D9"/>
    <w:rsid w:val="00182E30"/>
    <w:rsid w:val="001D0097"/>
    <w:rsid w:val="001D3FF9"/>
    <w:rsid w:val="001E5BD9"/>
    <w:rsid w:val="002142D3"/>
    <w:rsid w:val="00235B48"/>
    <w:rsid w:val="00263490"/>
    <w:rsid w:val="00267ED1"/>
    <w:rsid w:val="00271DBD"/>
    <w:rsid w:val="002824D4"/>
    <w:rsid w:val="0030468F"/>
    <w:rsid w:val="0035324A"/>
    <w:rsid w:val="0035370B"/>
    <w:rsid w:val="00391073"/>
    <w:rsid w:val="00397CCB"/>
    <w:rsid w:val="003D5537"/>
    <w:rsid w:val="003D6621"/>
    <w:rsid w:val="003F0C1A"/>
    <w:rsid w:val="00433805"/>
    <w:rsid w:val="004A1DB7"/>
    <w:rsid w:val="004A606A"/>
    <w:rsid w:val="005862C2"/>
    <w:rsid w:val="005C599E"/>
    <w:rsid w:val="005E79CA"/>
    <w:rsid w:val="00602FA4"/>
    <w:rsid w:val="00632FD1"/>
    <w:rsid w:val="00637CFD"/>
    <w:rsid w:val="00666376"/>
    <w:rsid w:val="006673B3"/>
    <w:rsid w:val="006826BE"/>
    <w:rsid w:val="00696885"/>
    <w:rsid w:val="00730B2F"/>
    <w:rsid w:val="00771EAF"/>
    <w:rsid w:val="00813C64"/>
    <w:rsid w:val="008326E2"/>
    <w:rsid w:val="00834362"/>
    <w:rsid w:val="00885447"/>
    <w:rsid w:val="008B2733"/>
    <w:rsid w:val="008C51A2"/>
    <w:rsid w:val="008D0F2C"/>
    <w:rsid w:val="008E74CF"/>
    <w:rsid w:val="0090144B"/>
    <w:rsid w:val="00912B4A"/>
    <w:rsid w:val="00922A39"/>
    <w:rsid w:val="00935C55"/>
    <w:rsid w:val="00963749"/>
    <w:rsid w:val="009972D0"/>
    <w:rsid w:val="009F6854"/>
    <w:rsid w:val="00A5279D"/>
    <w:rsid w:val="00AB29D5"/>
    <w:rsid w:val="00AB79AB"/>
    <w:rsid w:val="00AC20EC"/>
    <w:rsid w:val="00AE11C9"/>
    <w:rsid w:val="00AE127F"/>
    <w:rsid w:val="00B27FA7"/>
    <w:rsid w:val="00B370FB"/>
    <w:rsid w:val="00B418A4"/>
    <w:rsid w:val="00B83C2D"/>
    <w:rsid w:val="00BB2BBC"/>
    <w:rsid w:val="00BB5FFC"/>
    <w:rsid w:val="00C1301D"/>
    <w:rsid w:val="00C911FF"/>
    <w:rsid w:val="00C96B4A"/>
    <w:rsid w:val="00CA5308"/>
    <w:rsid w:val="00CC6920"/>
    <w:rsid w:val="00CF3B92"/>
    <w:rsid w:val="00D14FC2"/>
    <w:rsid w:val="00D20CDA"/>
    <w:rsid w:val="00D45F7A"/>
    <w:rsid w:val="00D96DE8"/>
    <w:rsid w:val="00DD6B6B"/>
    <w:rsid w:val="00DE7872"/>
    <w:rsid w:val="00E11994"/>
    <w:rsid w:val="00E31DCE"/>
    <w:rsid w:val="00E361A4"/>
    <w:rsid w:val="00E5257D"/>
    <w:rsid w:val="00E82D43"/>
    <w:rsid w:val="00E906B8"/>
    <w:rsid w:val="00EB2960"/>
    <w:rsid w:val="00ED279E"/>
    <w:rsid w:val="00ED5E80"/>
    <w:rsid w:val="00EE73C3"/>
    <w:rsid w:val="00EF25BC"/>
    <w:rsid w:val="00F01D37"/>
    <w:rsid w:val="00F14AFF"/>
    <w:rsid w:val="00F2681D"/>
    <w:rsid w:val="00F500DD"/>
    <w:rsid w:val="00F5627B"/>
    <w:rsid w:val="00F96D1A"/>
    <w:rsid w:val="00FA11EA"/>
    <w:rsid w:val="268251D9"/>
    <w:rsid w:val="278356D8"/>
    <w:rsid w:val="34E64F6A"/>
    <w:rsid w:val="34F75775"/>
    <w:rsid w:val="36DE4084"/>
    <w:rsid w:val="44C276E7"/>
    <w:rsid w:val="45310BF6"/>
    <w:rsid w:val="547A1144"/>
    <w:rsid w:val="55B87BD1"/>
    <w:rsid w:val="5B626E84"/>
    <w:rsid w:val="5E4B0A32"/>
    <w:rsid w:val="603E35F4"/>
    <w:rsid w:val="6A6C3565"/>
    <w:rsid w:val="750E19F3"/>
    <w:rsid w:val="7C7577FF"/>
    <w:rsid w:val="7FFF1534"/>
    <w:rsid w:val="FFFFE8D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3">
    <w:name w:val="heading 3"/>
    <w:basedOn w:val="1"/>
    <w:next w:val="1"/>
    <w:link w:val="12"/>
    <w:semiHidden/>
    <w:unhideWhenUsed/>
    <w:qFormat/>
    <w:uiPriority w:val="9"/>
    <w:pPr>
      <w:keepNext/>
      <w:keepLines/>
      <w:spacing w:before="260" w:after="260" w:line="416" w:lineRule="auto"/>
      <w:outlineLvl w:val="2"/>
    </w:pPr>
    <w:rPr>
      <w:b/>
      <w:bCs/>
      <w:sz w:val="32"/>
      <w:szCs w:val="32"/>
    </w:rPr>
  </w:style>
  <w:style w:type="character" w:default="1" w:styleId="9">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unhideWhenUsed/>
    <w:qFormat/>
    <w:uiPriority w:val="39"/>
  </w:style>
  <w:style w:type="paragraph" w:styleId="7">
    <w:name w:val="Title"/>
    <w:basedOn w:val="3"/>
    <w:next w:val="3"/>
    <w:link w:val="11"/>
    <w:qFormat/>
    <w:uiPriority w:val="10"/>
    <w:pPr>
      <w:spacing w:before="240" w:after="60"/>
      <w:jc w:val="center"/>
      <w:outlineLvl w:val="0"/>
    </w:pPr>
    <w:rPr>
      <w:rFonts w:eastAsia="宋体" w:asciiTheme="majorHAnsi" w:hAnsiTheme="majorHAnsi" w:cstheme="majorBidi"/>
      <w:b w:val="0"/>
      <w:bCs w:val="0"/>
    </w:rPr>
  </w:style>
  <w:style w:type="character" w:styleId="10">
    <w:name w:val="Hyperlink"/>
    <w:basedOn w:val="9"/>
    <w:unhideWhenUsed/>
    <w:qFormat/>
    <w:uiPriority w:val="99"/>
    <w:rPr>
      <w:color w:val="0563C1" w:themeColor="hyperlink"/>
      <w:u w:val="single"/>
      <w14:textFill>
        <w14:solidFill>
          <w14:schemeClr w14:val="hlink"/>
        </w14:solidFill>
      </w14:textFill>
    </w:rPr>
  </w:style>
  <w:style w:type="character" w:customStyle="1" w:styleId="11">
    <w:name w:val="标题 字符"/>
    <w:basedOn w:val="9"/>
    <w:link w:val="7"/>
    <w:qFormat/>
    <w:uiPriority w:val="10"/>
    <w:rPr>
      <w:rFonts w:eastAsia="宋体" w:asciiTheme="majorHAnsi" w:hAnsiTheme="majorHAnsi" w:cstheme="majorBidi"/>
      <w:sz w:val="32"/>
      <w:szCs w:val="32"/>
    </w:rPr>
  </w:style>
  <w:style w:type="character" w:customStyle="1" w:styleId="12">
    <w:name w:val="标题 3 字符"/>
    <w:basedOn w:val="9"/>
    <w:link w:val="3"/>
    <w:semiHidden/>
    <w:qFormat/>
    <w:uiPriority w:val="9"/>
    <w:rPr>
      <w:b/>
      <w:bCs/>
      <w:sz w:val="32"/>
      <w:szCs w:val="32"/>
    </w:rPr>
  </w:style>
  <w:style w:type="paragraph" w:styleId="13">
    <w:name w:val="List Paragraph"/>
    <w:basedOn w:val="1"/>
    <w:qFormat/>
    <w:uiPriority w:val="34"/>
    <w:pPr>
      <w:ind w:firstLine="420" w:firstLineChars="200"/>
    </w:pPr>
  </w:style>
  <w:style w:type="character" w:customStyle="1" w:styleId="14">
    <w:name w:val="页眉 字符"/>
    <w:basedOn w:val="9"/>
    <w:link w:val="5"/>
    <w:qFormat/>
    <w:uiPriority w:val="99"/>
    <w:rPr>
      <w:sz w:val="18"/>
      <w:szCs w:val="18"/>
    </w:rPr>
  </w:style>
  <w:style w:type="character" w:customStyle="1" w:styleId="15">
    <w:name w:val="页脚 字符"/>
    <w:basedOn w:val="9"/>
    <w:link w:val="4"/>
    <w:qFormat/>
    <w:uiPriority w:val="99"/>
    <w:rPr>
      <w:sz w:val="18"/>
      <w:szCs w:val="18"/>
    </w:rPr>
  </w:style>
  <w:style w:type="character" w:customStyle="1" w:styleId="16">
    <w:name w:val="标题 1 字符"/>
    <w:basedOn w:val="9"/>
    <w:link w:val="2"/>
    <w:qFormat/>
    <w:uiPriority w:val="9"/>
    <w:rPr>
      <w:b/>
      <w:bCs/>
      <w:kern w:val="44"/>
      <w:sz w:val="44"/>
      <w:szCs w:val="44"/>
    </w:rPr>
  </w:style>
  <w:style w:type="paragraph" w:customStyle="1" w:styleId="1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paragraph" w:customStyle="1" w:styleId="18">
    <w:name w:val="正文1"/>
    <w:basedOn w:val="1"/>
    <w:qFormat/>
    <w:uiPriority w:val="0"/>
    <w:pPr>
      <w:spacing w:line="360" w:lineRule="auto"/>
      <w:ind w:firstLine="361"/>
    </w:pPr>
    <w:rPr>
      <w:rFonts w:ascii="宋体" w:hAnsi="宋体" w:eastAsia="宋体" w:cs="Times New Roman"/>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1212</Words>
  <Characters>6909</Characters>
  <Lines>57</Lines>
  <Paragraphs>16</Paragraphs>
  <TotalTime>120</TotalTime>
  <ScaleCrop>false</ScaleCrop>
  <LinksUpToDate>false</LinksUpToDate>
  <CharactersWithSpaces>8105</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2021-04-06T02:10:00Z</dcterms:created>
  <dc:creator>user</dc:creator>
  <cp:lastModifiedBy>LX</cp:lastModifiedBy>
  <cp:lastPrinted>2021-05-12T05:41:03Z</cp:lastPrinted>
  <dcterms:modified xsi:type="dcterms:W3CDTF">2021-05-12T05:41:09Z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6EA9271B8D9C4F4D8B91A0CBAEE5951F</vt:lpwstr>
  </property>
</Properties>
</file>